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E8" w:rsidRDefault="00F324E8" w:rsidP="00F324E8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F324E8" w:rsidRDefault="00F324E8" w:rsidP="00F324E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ЗАТВЕРДЖЕНО:</w:t>
      </w: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Рішенням </w:t>
      </w:r>
      <w:proofErr w:type="spellStart"/>
      <w:r>
        <w:rPr>
          <w:rFonts w:ascii="Times New Roman" w:hAnsi="Times New Roman"/>
        </w:rPr>
        <w:t>Вчено</w:t>
      </w:r>
      <w:proofErr w:type="spellEnd"/>
      <w:r>
        <w:rPr>
          <w:rFonts w:ascii="Times New Roman" w:hAnsi="Times New Roman"/>
          <w:lang w:val="uk-UA"/>
        </w:rPr>
        <w:t>ї</w:t>
      </w:r>
      <w:r>
        <w:rPr>
          <w:rFonts w:ascii="Times New Roman" w:hAnsi="Times New Roman"/>
        </w:rPr>
        <w:t xml:space="preserve"> рад</w:t>
      </w:r>
      <w:r>
        <w:rPr>
          <w:rFonts w:ascii="Times New Roman" w:hAnsi="Times New Roman"/>
          <w:lang w:val="uk-UA"/>
        </w:rPr>
        <w:t>и</w:t>
      </w: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Дніпропетровськ</w:t>
      </w:r>
      <w:r>
        <w:rPr>
          <w:rFonts w:ascii="Times New Roman" w:hAnsi="Times New Roman"/>
          <w:lang w:val="uk-UA"/>
        </w:rPr>
        <w:t>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академі</w:t>
      </w:r>
      <w:proofErr w:type="spellEnd"/>
      <w:r>
        <w:rPr>
          <w:rFonts w:ascii="Times New Roman" w:hAnsi="Times New Roman"/>
          <w:lang w:val="uk-UA"/>
        </w:rPr>
        <w:t xml:space="preserve">ї </w:t>
      </w:r>
      <w:proofErr w:type="spellStart"/>
      <w:r>
        <w:rPr>
          <w:rFonts w:ascii="Times New Roman" w:hAnsi="Times New Roman"/>
        </w:rPr>
        <w:t>музики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ім</w:t>
      </w:r>
      <w:proofErr w:type="spellEnd"/>
      <w:r>
        <w:rPr>
          <w:rFonts w:ascii="Times New Roman" w:hAnsi="Times New Roman"/>
        </w:rPr>
        <w:t>. </w:t>
      </w:r>
      <w:proofErr w:type="spellStart"/>
      <w:r>
        <w:rPr>
          <w:rFonts w:ascii="Times New Roman" w:hAnsi="Times New Roman"/>
        </w:rPr>
        <w:t>М.Глінки</w:t>
      </w:r>
      <w:proofErr w:type="spellEnd"/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  <w:u w:val="single"/>
          <w:lang w:val="uk-UA"/>
        </w:rPr>
        <w:t> 14 </w:t>
      </w:r>
      <w:r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  <w:u w:val="single"/>
          <w:lang w:val="uk-UA"/>
        </w:rPr>
        <w:t>  грудня  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18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</w:rPr>
        <w:t>п</w:t>
      </w:r>
      <w:proofErr w:type="spellStart"/>
      <w:r>
        <w:rPr>
          <w:rFonts w:ascii="Times New Roman" w:hAnsi="Times New Roman"/>
          <w:lang w:val="uk-UA"/>
        </w:rPr>
        <w:t>ротокол</w:t>
      </w:r>
      <w:proofErr w:type="spellEnd"/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  <w:lang w:val="uk-UA"/>
        </w:rPr>
        <w:t>  </w:t>
      </w:r>
      <w:r>
        <w:rPr>
          <w:rFonts w:ascii="Times New Roman" w:hAnsi="Times New Roman"/>
          <w:i/>
          <w:u w:val="single"/>
          <w:lang w:val="uk-UA"/>
        </w:rPr>
        <w:t>4</w:t>
      </w:r>
      <w:r>
        <w:rPr>
          <w:rFonts w:ascii="Times New Roman" w:hAnsi="Times New Roman"/>
          <w:u w:val="single"/>
          <w:lang w:val="uk-UA"/>
        </w:rPr>
        <w:t>  </w:t>
      </w:r>
    </w:p>
    <w:p w:rsidR="00F324E8" w:rsidRDefault="00F324E8" w:rsidP="00F324E8">
      <w:pPr>
        <w:spacing w:after="0" w:line="240" w:lineRule="auto"/>
        <w:rPr>
          <w:rFonts w:ascii="Times New Roman" w:hAnsi="Times New Roman"/>
          <w:lang w:val="uk-UA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uk-UA"/>
        </w:rPr>
        <w:t>Голова Вченої ради академії</w:t>
      </w:r>
    </w:p>
    <w:p w:rsidR="00F324E8" w:rsidRDefault="00F324E8" w:rsidP="00F324E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  <w:lang w:val="uk-UA"/>
        </w:rPr>
        <w:t xml:space="preserve">Ю.М. </w:t>
      </w:r>
      <w:proofErr w:type="gramStart"/>
      <w:r>
        <w:rPr>
          <w:rFonts w:ascii="Times New Roman" w:hAnsi="Times New Roman"/>
          <w:lang w:val="uk-UA"/>
        </w:rPr>
        <w:t>НОВ</w:t>
      </w:r>
      <w:proofErr w:type="gramEnd"/>
      <w:r>
        <w:rPr>
          <w:rFonts w:ascii="Times New Roman" w:hAnsi="Times New Roman"/>
          <w:lang w:val="uk-UA"/>
        </w:rPr>
        <w:t>ІКОВ</w:t>
      </w: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lang w:val="uk-UA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Введено в дію наказом ректора</w:t>
      </w: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  <w:lang w:val="uk-UA"/>
        </w:rPr>
        <w:t> </w:t>
      </w:r>
      <w:r>
        <w:rPr>
          <w:rFonts w:ascii="Times New Roman" w:hAnsi="Times New Roman"/>
          <w:i/>
          <w:u w:val="single"/>
          <w:lang w:val="uk-UA"/>
        </w:rPr>
        <w:t>14 </w:t>
      </w:r>
      <w:r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  <w:u w:val="single"/>
          <w:lang w:val="uk-UA"/>
        </w:rPr>
        <w:t>  грудня   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 xml:space="preserve">18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  <w:lang w:val="uk-UA"/>
        </w:rPr>
        <w:t>  </w:t>
      </w:r>
      <w:r>
        <w:rPr>
          <w:rFonts w:ascii="Times New Roman" w:hAnsi="Times New Roman"/>
          <w:i/>
          <w:u w:val="single"/>
          <w:lang w:val="uk-UA"/>
        </w:rPr>
        <w:t>139</w:t>
      </w:r>
      <w:r>
        <w:rPr>
          <w:rFonts w:ascii="Times New Roman" w:hAnsi="Times New Roman"/>
          <w:u w:val="single"/>
          <w:lang w:val="uk-UA"/>
        </w:rPr>
        <w:t>  </w:t>
      </w: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F324E8" w:rsidRDefault="00F324E8" w:rsidP="00F324E8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324E8" w:rsidRDefault="00F324E8" w:rsidP="00F324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E8" w:rsidRDefault="00F324E8" w:rsidP="00F324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ПОЛОЖЕННЯ</w:t>
      </w:r>
    </w:p>
    <w:p w:rsidR="00F324E8" w:rsidRPr="00F324E8" w:rsidRDefault="00F324E8" w:rsidP="00F324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lang w:val="uk-UA"/>
        </w:rPr>
      </w:pPr>
      <w:r w:rsidRPr="00F324E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ПРО </w:t>
      </w:r>
      <w:r w:rsidRPr="00F324E8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>АСИСТЕНТУРУ-СТАЖУВАННЯ</w:t>
      </w:r>
    </w:p>
    <w:p w:rsidR="00F324E8" w:rsidRDefault="00F324E8" w:rsidP="00F324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24E8" w:rsidRDefault="00F324E8" w:rsidP="00F32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Дніпро–2018</w:t>
      </w:r>
      <w:bookmarkStart w:id="0" w:name="n16"/>
      <w:bookmarkEnd w:id="0"/>
    </w:p>
    <w:p w:rsidR="006E1686" w:rsidRPr="00DF434B" w:rsidRDefault="006E1686" w:rsidP="00AF5C8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F4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I</w:t>
      </w:r>
      <w:r w:rsidR="00AF5C84" w:rsidRPr="00DF4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. Загальна частина</w:t>
      </w:r>
    </w:p>
    <w:p w:rsidR="006E1686" w:rsidRPr="00AF5C84" w:rsidRDefault="006E1686" w:rsidP="00AF5C8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5C84" w:rsidRDefault="00AF5C84" w:rsidP="00AF5C84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1.1. Цей Порядок визначає механізм навчання в </w:t>
      </w:r>
      <w:proofErr w:type="spellStart"/>
      <w:r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Pr="00AF5C84">
        <w:rPr>
          <w:rFonts w:ascii="Times New Roman" w:hAnsi="Times New Roman"/>
          <w:sz w:val="28"/>
          <w:szCs w:val="28"/>
        </w:rPr>
        <w:t>-стажуванні здобувачами вищої освіти на третьому (</w:t>
      </w:r>
      <w:proofErr w:type="spellStart"/>
      <w:r w:rsidRPr="00AF5C84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AF5C84">
        <w:rPr>
          <w:rFonts w:ascii="Times New Roman" w:hAnsi="Times New Roman"/>
          <w:sz w:val="28"/>
          <w:szCs w:val="28"/>
        </w:rPr>
        <w:t>-творчому) рівні (далі — здобув</w:t>
      </w:r>
      <w:r>
        <w:rPr>
          <w:rFonts w:ascii="Times New Roman" w:hAnsi="Times New Roman"/>
          <w:sz w:val="28"/>
          <w:szCs w:val="28"/>
        </w:rPr>
        <w:t>ачі) в</w:t>
      </w:r>
      <w:r w:rsidRPr="00AF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Дніпропетровській академії музики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(далі – 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5C84">
        <w:rPr>
          <w:rFonts w:ascii="Times New Roman" w:hAnsi="Times New Roman"/>
          <w:sz w:val="28"/>
          <w:szCs w:val="28"/>
        </w:rPr>
        <w:t xml:space="preserve"> </w:t>
      </w:r>
      <w:r w:rsidRPr="00F618BA"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sz w:val="28"/>
          <w:szCs w:val="28"/>
        </w:rPr>
        <w:t>025 „Музичне мистецтво”.</w:t>
      </w:r>
    </w:p>
    <w:p w:rsidR="00AF5C84" w:rsidRPr="00DF434B" w:rsidRDefault="00AF5C84" w:rsidP="00AF5C84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7E098A" w:rsidRDefault="00AF5C84" w:rsidP="00AF5C84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AF5C84">
        <w:rPr>
          <w:rFonts w:ascii="Times New Roman" w:hAnsi="Times New Roman"/>
          <w:sz w:val="28"/>
          <w:szCs w:val="28"/>
        </w:rPr>
        <w:t xml:space="preserve">Підготовка здобувачів в </w:t>
      </w:r>
      <w:proofErr w:type="spellStart"/>
      <w:r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Pr="00AF5C84">
        <w:rPr>
          <w:rFonts w:ascii="Times New Roman" w:hAnsi="Times New Roman"/>
          <w:sz w:val="28"/>
          <w:szCs w:val="28"/>
        </w:rPr>
        <w:t xml:space="preserve">-стажуванні </w:t>
      </w:r>
      <w:r>
        <w:rPr>
          <w:rFonts w:ascii="Times New Roman" w:hAnsi="Times New Roman"/>
          <w:sz w:val="28"/>
          <w:szCs w:val="28"/>
        </w:rPr>
        <w:t>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 w:rsidRPr="00AF5C84">
        <w:rPr>
          <w:rFonts w:ascii="Times New Roman" w:hAnsi="Times New Roman"/>
          <w:sz w:val="28"/>
          <w:szCs w:val="28"/>
        </w:rPr>
        <w:t xml:space="preserve"> здійснюється виключно за </w:t>
      </w:r>
      <w:r w:rsidR="007E098A">
        <w:rPr>
          <w:rFonts w:ascii="Times New Roman" w:hAnsi="Times New Roman"/>
          <w:sz w:val="28"/>
          <w:szCs w:val="28"/>
        </w:rPr>
        <w:t>очною (денною) формою навчання.</w:t>
      </w:r>
    </w:p>
    <w:p w:rsidR="00AF5C84" w:rsidRDefault="00AF5C84" w:rsidP="00AF5C84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Нормативний строк підготовки здобувачів в </w:t>
      </w:r>
      <w:proofErr w:type="spellStart"/>
      <w:r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Pr="00AF5C84">
        <w:rPr>
          <w:rFonts w:ascii="Times New Roman" w:hAnsi="Times New Roman"/>
          <w:sz w:val="28"/>
          <w:szCs w:val="28"/>
        </w:rPr>
        <w:t>-стажуванні становить один рік.</w:t>
      </w:r>
    </w:p>
    <w:p w:rsidR="00F8299B" w:rsidRPr="00DF434B" w:rsidRDefault="00F8299B" w:rsidP="00AF5C84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F8299B" w:rsidRDefault="00F8299B" w:rsidP="007E098A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AF5C84" w:rsidRPr="00AF5C84">
        <w:rPr>
          <w:rFonts w:ascii="Times New Roman" w:hAnsi="Times New Roman"/>
          <w:sz w:val="28"/>
          <w:szCs w:val="28"/>
        </w:rPr>
        <w:t xml:space="preserve">Для здобувачів, які успішно завершили навчання в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-стажуванні та отримали відповідний сертифікат, строк підготовки в творчій аспірантурі за цією ж спеціальністю становить два роки.</w:t>
      </w:r>
    </w:p>
    <w:p w:rsidR="00F8299B" w:rsidRPr="00DF434B" w:rsidRDefault="00F8299B" w:rsidP="00F8299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F8299B" w:rsidRDefault="00AF5C84" w:rsidP="00F8299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F5C84">
        <w:rPr>
          <w:rFonts w:ascii="Times New Roman" w:hAnsi="Times New Roman"/>
          <w:sz w:val="28"/>
          <w:szCs w:val="28"/>
        </w:rPr>
        <w:t>4. </w:t>
      </w:r>
      <w:r w:rsidR="00F8299B">
        <w:rPr>
          <w:rFonts w:ascii="Times New Roman" w:hAnsi="Times New Roman"/>
          <w:sz w:val="28"/>
          <w:szCs w:val="28"/>
        </w:rPr>
        <w:t xml:space="preserve">Навчання в </w:t>
      </w:r>
      <w:proofErr w:type="spellStart"/>
      <w:r w:rsidR="00F8299B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="00F8299B">
        <w:rPr>
          <w:rFonts w:ascii="Times New Roman" w:hAnsi="Times New Roman"/>
          <w:sz w:val="28"/>
          <w:szCs w:val="28"/>
        </w:rPr>
        <w:t xml:space="preserve">-стажуванні </w:t>
      </w:r>
      <w:r w:rsidRPr="00AF5C84">
        <w:rPr>
          <w:rFonts w:ascii="Times New Roman" w:hAnsi="Times New Roman"/>
          <w:sz w:val="28"/>
          <w:szCs w:val="28"/>
        </w:rPr>
        <w:t>здійснюється:</w:t>
      </w:r>
    </w:p>
    <w:p w:rsidR="00F8299B" w:rsidRDefault="00AF5C84" w:rsidP="00F8299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за рахунок коштів </w:t>
      </w:r>
      <w:r w:rsidR="00F8299B">
        <w:rPr>
          <w:rFonts w:ascii="Times New Roman" w:hAnsi="Times New Roman"/>
          <w:sz w:val="28"/>
          <w:szCs w:val="28"/>
        </w:rPr>
        <w:t>регіонального</w:t>
      </w:r>
      <w:r w:rsidRPr="00AF5C84">
        <w:rPr>
          <w:rFonts w:ascii="Times New Roman" w:hAnsi="Times New Roman"/>
          <w:sz w:val="28"/>
          <w:szCs w:val="28"/>
        </w:rPr>
        <w:t xml:space="preserve"> бюджету (за </w:t>
      </w:r>
      <w:r w:rsidR="00F8299B">
        <w:rPr>
          <w:rFonts w:ascii="Times New Roman" w:hAnsi="Times New Roman"/>
          <w:sz w:val="28"/>
          <w:szCs w:val="28"/>
        </w:rPr>
        <w:t>регіональним</w:t>
      </w:r>
      <w:r w:rsidRPr="00AF5C84">
        <w:rPr>
          <w:rFonts w:ascii="Times New Roman" w:hAnsi="Times New Roman"/>
          <w:sz w:val="28"/>
          <w:szCs w:val="28"/>
        </w:rPr>
        <w:t xml:space="preserve"> замовленням);</w:t>
      </w:r>
    </w:p>
    <w:p w:rsidR="007E098A" w:rsidRDefault="00AF5C84" w:rsidP="007E098A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>за рахунок коштів юридичних або фізичних осіб (на умовах контракту, зокрема за кошти грантів, які отримав заклад вищої освіти мистецького спрямування на реалізацію культурно-мистецьких проектів, за якими передбачається підготовка здобувачів вищої освіти ступеня доктора мистецтва).</w:t>
      </w:r>
    </w:p>
    <w:p w:rsidR="007E098A" w:rsidRPr="00E46DC1" w:rsidRDefault="007E098A" w:rsidP="007E098A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7E098A" w:rsidRDefault="007E098A" w:rsidP="007E098A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F5C84" w:rsidRPr="00AF5C84">
        <w:rPr>
          <w:rFonts w:ascii="Times New Roman" w:hAnsi="Times New Roman"/>
          <w:sz w:val="28"/>
          <w:szCs w:val="28"/>
        </w:rPr>
        <w:t xml:space="preserve">. Кількість </w:t>
      </w:r>
      <w:r>
        <w:rPr>
          <w:rFonts w:ascii="Times New Roman" w:hAnsi="Times New Roman"/>
          <w:sz w:val="28"/>
          <w:szCs w:val="28"/>
        </w:rPr>
        <w:t>здобувачів</w:t>
      </w:r>
      <w:r w:rsidR="00AF5C84" w:rsidRPr="00AF5C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навчання</w:t>
      </w:r>
      <w:r w:rsidR="00AF5C84" w:rsidRPr="00AF5C84">
        <w:rPr>
          <w:rFonts w:ascii="Times New Roman" w:hAnsi="Times New Roman"/>
          <w:sz w:val="28"/>
          <w:szCs w:val="28"/>
        </w:rPr>
        <w:t xml:space="preserve"> яких здійснюється поза </w:t>
      </w:r>
      <w:r>
        <w:rPr>
          <w:rFonts w:ascii="Times New Roman" w:hAnsi="Times New Roman"/>
          <w:sz w:val="28"/>
          <w:szCs w:val="28"/>
        </w:rPr>
        <w:t>регіональним замовленням, та вартість такого</w:t>
      </w:r>
      <w:r w:rsidR="00AF5C84" w:rsidRPr="00AF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стажування</w:t>
      </w:r>
      <w:r w:rsidRPr="00AF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визначає</w:t>
      </w:r>
      <w:r w:rsidR="00AF5C84" w:rsidRPr="00AF5C84">
        <w:rPr>
          <w:rFonts w:ascii="Times New Roman" w:hAnsi="Times New Roman"/>
          <w:sz w:val="28"/>
          <w:szCs w:val="28"/>
        </w:rPr>
        <w:t xml:space="preserve">ться вченою радою </w:t>
      </w:r>
      <w:r>
        <w:rPr>
          <w:rFonts w:ascii="Times New Roman" w:hAnsi="Times New Roman"/>
          <w:sz w:val="28"/>
          <w:szCs w:val="28"/>
        </w:rPr>
        <w:t>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 w:rsidRPr="00AF5C84">
        <w:rPr>
          <w:rFonts w:ascii="Times New Roman" w:hAnsi="Times New Roman"/>
          <w:sz w:val="28"/>
          <w:szCs w:val="28"/>
        </w:rPr>
        <w:t xml:space="preserve"> </w:t>
      </w:r>
      <w:r w:rsidR="00AF5C84" w:rsidRPr="00AF5C84">
        <w:rPr>
          <w:rFonts w:ascii="Times New Roman" w:hAnsi="Times New Roman"/>
          <w:sz w:val="28"/>
          <w:szCs w:val="28"/>
        </w:rPr>
        <w:t>(далі — вчена рада) у межах ліцензованого обсягу з урахуванням можливостей забезпечення кваліфікованого творчого керівництва та/або наукового консультування та надання якісних освітніх послуг.</w:t>
      </w:r>
    </w:p>
    <w:p w:rsidR="007E098A" w:rsidRPr="00E46DC1" w:rsidRDefault="007E098A" w:rsidP="007E098A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7E098A" w:rsidRDefault="007E098A" w:rsidP="007E098A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F5C84" w:rsidRPr="00AF5C84">
        <w:rPr>
          <w:rFonts w:ascii="Times New Roman" w:hAnsi="Times New Roman"/>
          <w:sz w:val="28"/>
          <w:szCs w:val="28"/>
        </w:rPr>
        <w:t xml:space="preserve">. Відрахування, переривання </w:t>
      </w:r>
      <w:r>
        <w:rPr>
          <w:rFonts w:ascii="Times New Roman" w:hAnsi="Times New Roman"/>
          <w:sz w:val="28"/>
          <w:szCs w:val="28"/>
        </w:rPr>
        <w:t>навчання</w:t>
      </w:r>
      <w:r w:rsidR="00AF5C84" w:rsidRPr="00AF5C84">
        <w:rPr>
          <w:rFonts w:ascii="Times New Roman" w:hAnsi="Times New Roman"/>
          <w:sz w:val="28"/>
          <w:szCs w:val="28"/>
        </w:rPr>
        <w:t xml:space="preserve">, поновлення і переведення </w:t>
      </w:r>
      <w:r>
        <w:rPr>
          <w:rFonts w:ascii="Times New Roman" w:hAnsi="Times New Roman"/>
          <w:sz w:val="28"/>
          <w:szCs w:val="28"/>
        </w:rPr>
        <w:t xml:space="preserve">асистентів-стажистів </w:t>
      </w:r>
      <w:r w:rsidR="00AF5C84" w:rsidRPr="00AF5C84">
        <w:rPr>
          <w:rFonts w:ascii="Times New Roman" w:hAnsi="Times New Roman"/>
          <w:sz w:val="28"/>
          <w:szCs w:val="28"/>
        </w:rPr>
        <w:t>здійснюється згідно</w:t>
      </w:r>
      <w:r>
        <w:rPr>
          <w:rFonts w:ascii="Times New Roman" w:hAnsi="Times New Roman"/>
          <w:sz w:val="28"/>
          <w:szCs w:val="28"/>
        </w:rPr>
        <w:t xml:space="preserve"> з положенням, затвердженим МОН</w:t>
      </w:r>
    </w:p>
    <w:p w:rsidR="007E098A" w:rsidRPr="00E46DC1" w:rsidRDefault="007E098A" w:rsidP="007E098A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7E098A" w:rsidRDefault="007E098A" w:rsidP="007E098A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F5C84" w:rsidRPr="00AF5C84">
        <w:rPr>
          <w:rFonts w:ascii="Times New Roman" w:hAnsi="Times New Roman"/>
          <w:sz w:val="28"/>
          <w:szCs w:val="28"/>
        </w:rPr>
        <w:t xml:space="preserve">. Здобувачі, які не завершили навчання </w:t>
      </w:r>
      <w:r>
        <w:rPr>
          <w:rFonts w:ascii="Times New Roman" w:hAnsi="Times New Roman"/>
          <w:sz w:val="28"/>
          <w:szCs w:val="28"/>
        </w:rPr>
        <w:t>в</w:t>
      </w:r>
      <w:r w:rsidR="00AF5C84" w:rsidRPr="00AF5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 xml:space="preserve">-стажуванні за кошти </w:t>
      </w:r>
      <w:r>
        <w:rPr>
          <w:rFonts w:ascii="Times New Roman" w:hAnsi="Times New Roman"/>
          <w:sz w:val="28"/>
          <w:szCs w:val="28"/>
        </w:rPr>
        <w:t xml:space="preserve">регіонального </w:t>
      </w:r>
      <w:r w:rsidR="00AF5C84" w:rsidRPr="00AF5C84">
        <w:rPr>
          <w:rFonts w:ascii="Times New Roman" w:hAnsi="Times New Roman"/>
          <w:sz w:val="28"/>
          <w:szCs w:val="28"/>
        </w:rPr>
        <w:t xml:space="preserve">бюджету або були відраховані з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</w:t>
      </w:r>
      <w:r>
        <w:rPr>
          <w:rFonts w:ascii="Times New Roman" w:hAnsi="Times New Roman"/>
          <w:sz w:val="28"/>
          <w:szCs w:val="28"/>
        </w:rPr>
        <w:t xml:space="preserve">ування достроково, мають право </w:t>
      </w:r>
      <w:r w:rsidR="00AF5C84" w:rsidRPr="00AF5C84">
        <w:rPr>
          <w:rFonts w:ascii="Times New Roman" w:hAnsi="Times New Roman"/>
          <w:sz w:val="28"/>
          <w:szCs w:val="28"/>
        </w:rPr>
        <w:t>повторно безоплатно здобувати вищу освіту за державним замовленням за умови відшкодування коштів, витрачених на оплату послуг з їх підготовки.</w:t>
      </w:r>
    </w:p>
    <w:p w:rsidR="007E098A" w:rsidRPr="00E46DC1" w:rsidRDefault="007E098A" w:rsidP="007E098A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B54C5B" w:rsidRDefault="007E098A" w:rsidP="00B54C5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5C84" w:rsidRPr="00AF5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AF5C84" w:rsidRPr="00AF5C84">
        <w:rPr>
          <w:rFonts w:ascii="Times New Roman" w:hAnsi="Times New Roman"/>
          <w:sz w:val="28"/>
          <w:szCs w:val="28"/>
        </w:rPr>
        <w:t> Здобувачі користуються всіма правами та зобов’язані виконувати всі обов’язки здобувачів вищої освіти відповідно до Законів України “Про освіту” та “Про вищу освіту”.</w:t>
      </w:r>
    </w:p>
    <w:p w:rsidR="00B54C5B" w:rsidRDefault="00AF5C84" w:rsidP="00B54C5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З метою належного виконання </w:t>
      </w:r>
      <w:proofErr w:type="spellStart"/>
      <w:r w:rsidRPr="00AF5C84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AF5C84">
        <w:rPr>
          <w:rFonts w:ascii="Times New Roman" w:hAnsi="Times New Roman"/>
          <w:sz w:val="28"/>
          <w:szCs w:val="28"/>
        </w:rPr>
        <w:t>-творчої програми та провадження творчої мистецької діяльності здобувачі мають право на забезпечення матеріально-технічною базою для підготовки та реалізації творчого мистецьк</w:t>
      </w:r>
      <w:r w:rsidR="00B54C5B">
        <w:rPr>
          <w:rFonts w:ascii="Times New Roman" w:hAnsi="Times New Roman"/>
          <w:sz w:val="28"/>
          <w:szCs w:val="28"/>
        </w:rPr>
        <w:t>ого проекту або творчого звіту.</w:t>
      </w:r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>Здобувачі, які навчаються поза творчою аспірантурою відповідного закладу вищої освіти мистецького спрямування, мають право на безперервну трудову діяльність. У разі звільнення із закладу вищої освіти мистецького спрямування здобувач втрачає право навчатися поза творчою аспірантурою у цьому закладі та може:</w:t>
      </w:r>
      <w:bookmarkStart w:id="1" w:name="n127"/>
      <w:bookmarkEnd w:id="1"/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lastRenderedPageBreak/>
        <w:t>продовжити навчання поза творчою аспірантурою у закладі вищої освіти мистецького спрямування, до якого особа зарахована на посаду науково-педагогічного працівника (за умови прийняття відповідного рішення таким закладом вищої освіти);</w:t>
      </w:r>
      <w:bookmarkStart w:id="2" w:name="n128"/>
      <w:bookmarkEnd w:id="2"/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>вступити до творчої аспірантури закладу вищої освіти мистецького спрямування на загальних умовах.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="00AF5C84" w:rsidRPr="00AF5C84">
        <w:rPr>
          <w:rFonts w:ascii="Times New Roman" w:hAnsi="Times New Roman"/>
          <w:sz w:val="28"/>
          <w:szCs w:val="28"/>
        </w:rPr>
        <w:t>Науково-методичне забезпечення та організацію освітньої діяльності з підготовки здобувачів у закладах вищої освіти мистецького спрямування здійснюють вчені ради.</w:t>
      </w:r>
    </w:p>
    <w:p w:rsidR="00DF434B" w:rsidRPr="0035040C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DF434B" w:rsidRPr="0035040C" w:rsidRDefault="00DF434B" w:rsidP="00DF434B">
      <w:pPr>
        <w:pStyle w:val="ab"/>
        <w:spacing w:before="0"/>
        <w:jc w:val="center"/>
        <w:rPr>
          <w:rFonts w:ascii="Times New Roman" w:hAnsi="Times New Roman"/>
          <w:sz w:val="36"/>
          <w:szCs w:val="36"/>
        </w:rPr>
      </w:pPr>
      <w:r w:rsidRPr="0035040C">
        <w:rPr>
          <w:rFonts w:ascii="Times New Roman" w:hAnsi="Times New Roman"/>
          <w:b/>
          <w:sz w:val="36"/>
          <w:szCs w:val="36"/>
        </w:rPr>
        <w:t xml:space="preserve">ІІ. </w:t>
      </w:r>
      <w:r w:rsidR="00AF5C84" w:rsidRPr="0035040C">
        <w:rPr>
          <w:rFonts w:ascii="Times New Roman" w:hAnsi="Times New Roman"/>
          <w:b/>
          <w:sz w:val="36"/>
          <w:szCs w:val="36"/>
        </w:rPr>
        <w:t xml:space="preserve">Вступ до </w:t>
      </w:r>
      <w:proofErr w:type="spellStart"/>
      <w:r w:rsidR="00AF5C84" w:rsidRPr="0035040C">
        <w:rPr>
          <w:rFonts w:ascii="Times New Roman" w:hAnsi="Times New Roman"/>
          <w:b/>
          <w:sz w:val="36"/>
          <w:szCs w:val="36"/>
        </w:rPr>
        <w:t>асистентури</w:t>
      </w:r>
      <w:proofErr w:type="spellEnd"/>
      <w:r w:rsidR="00AF5C84" w:rsidRPr="0035040C">
        <w:rPr>
          <w:rFonts w:ascii="Times New Roman" w:hAnsi="Times New Roman"/>
          <w:b/>
          <w:sz w:val="36"/>
          <w:szCs w:val="36"/>
        </w:rPr>
        <w:t>-стажування</w:t>
      </w:r>
    </w:p>
    <w:p w:rsidR="00DF434B" w:rsidRPr="00E46DC1" w:rsidRDefault="00DF434B" w:rsidP="00DF434B">
      <w:pPr>
        <w:pStyle w:val="ab"/>
        <w:spacing w:before="0"/>
        <w:jc w:val="center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5C84" w:rsidRPr="00AF5C84">
        <w:rPr>
          <w:rFonts w:ascii="Times New Roman" w:hAnsi="Times New Roman"/>
          <w:sz w:val="28"/>
          <w:szCs w:val="28"/>
        </w:rPr>
        <w:t xml:space="preserve">2. Вступ 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-стажування здійснюється на конкурсній основі за результатами вступних випробу</w:t>
      </w:r>
      <w:r>
        <w:rPr>
          <w:rFonts w:ascii="Times New Roman" w:hAnsi="Times New Roman"/>
          <w:sz w:val="28"/>
          <w:szCs w:val="28"/>
        </w:rPr>
        <w:t>вань відповідно до цього Положення</w:t>
      </w:r>
      <w:r w:rsidR="00AF5C84" w:rsidRPr="00AF5C84">
        <w:rPr>
          <w:rFonts w:ascii="Times New Roman" w:hAnsi="Times New Roman"/>
          <w:sz w:val="28"/>
          <w:szCs w:val="28"/>
        </w:rPr>
        <w:t xml:space="preserve">, Умов прийому на навчання до закладів вищої освіти, затверджених МОН, та Правил прийому до </w:t>
      </w:r>
      <w:r>
        <w:rPr>
          <w:rFonts w:ascii="Times New Roman" w:hAnsi="Times New Roman"/>
          <w:sz w:val="28"/>
          <w:szCs w:val="28"/>
        </w:rPr>
        <w:t>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, затверджених вченою радою (далі — Правила прийому).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5C84" w:rsidRPr="00AF5C84">
        <w:rPr>
          <w:rFonts w:ascii="Times New Roman" w:hAnsi="Times New Roman"/>
          <w:sz w:val="28"/>
          <w:szCs w:val="28"/>
        </w:rPr>
        <w:t xml:space="preserve">3. 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-стажування приймаються особи, які здобули вищу освіту ступеня магістра за мистецькою спеціальністю.</w:t>
      </w:r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Особи, які для вступу до </w:t>
      </w:r>
      <w:proofErr w:type="spellStart"/>
      <w:r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Pr="00AF5C84">
        <w:rPr>
          <w:rFonts w:ascii="Times New Roman" w:hAnsi="Times New Roman"/>
          <w:sz w:val="28"/>
          <w:szCs w:val="28"/>
        </w:rPr>
        <w:t>-стажування подають засвідчену в установленому порядку копію та переклад українською мовою документа про вищу освіту, здобуту в іноземних вищих навчальних закладах, допускаються до вступних випробувань нарівні з іншими особами. У разі зарахування на навчання таких осіб обов’язковою є процедура визнання і встановлення еквівалентності іноземного документа про освіту, що здійснюється відповідно до Порядку визнання здобутих в іноземних закладах вищої освіти ступенів вищої освіти та наукових ступенів, затвердженого МОН.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5C84" w:rsidRPr="00AF5C84">
        <w:rPr>
          <w:rFonts w:ascii="Times New Roman" w:hAnsi="Times New Roman"/>
          <w:sz w:val="28"/>
          <w:szCs w:val="28"/>
        </w:rPr>
        <w:t>4. До вступних випробувань допускаються особи, які вчасно подали всі необхідні для вступу документи згідно з Правилами прийому. Приймальна комісія може відмовити особі в допуску до вступних випробувань у зв’язку з неподанням в установлений строк або неправильно оформлених документів, або поданих не в повному обсязі, визначених Правилами прийому.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F5C84" w:rsidRPr="00AF5C84">
        <w:rPr>
          <w:rFonts w:ascii="Times New Roman" w:hAnsi="Times New Roman"/>
          <w:sz w:val="28"/>
          <w:szCs w:val="28"/>
        </w:rPr>
        <w:t xml:space="preserve">. Вступні випробування 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-стажування складаються із:</w:t>
      </w:r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>творчого випробування із спеціальності (в обсязі програми рівня вищої освіти магістра з відповідної спеціальності);</w:t>
      </w:r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>співбесіди з фахових питань (в обсязі програми рівня вищої освіти магістра з відповідної спеціальності).</w:t>
      </w:r>
    </w:p>
    <w:p w:rsidR="00E46DC1" w:rsidRPr="00E46DC1" w:rsidRDefault="00E46DC1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F5C84" w:rsidRPr="00AF5C84">
        <w:rPr>
          <w:rFonts w:ascii="Times New Roman" w:hAnsi="Times New Roman"/>
          <w:sz w:val="28"/>
          <w:szCs w:val="28"/>
        </w:rPr>
        <w:t>. </w:t>
      </w:r>
      <w:r w:rsidR="0035040C">
        <w:rPr>
          <w:rFonts w:ascii="Times New Roman" w:hAnsi="Times New Roman"/>
          <w:sz w:val="28"/>
          <w:szCs w:val="28"/>
        </w:rPr>
        <w:t>С</w:t>
      </w:r>
      <w:r w:rsidR="00AF5C84" w:rsidRPr="00AF5C84">
        <w:rPr>
          <w:rFonts w:ascii="Times New Roman" w:hAnsi="Times New Roman"/>
          <w:sz w:val="28"/>
          <w:szCs w:val="28"/>
        </w:rPr>
        <w:t xml:space="preserve">ертифікат про навчання в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асистентурі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-стажуванні, результати захисту творчого звіту можуть бути зараховані як результати творчог</w:t>
      </w:r>
      <w:r w:rsidR="0035040C">
        <w:rPr>
          <w:rFonts w:ascii="Times New Roman" w:hAnsi="Times New Roman"/>
          <w:sz w:val="28"/>
          <w:szCs w:val="28"/>
        </w:rPr>
        <w:t>о випробування із спеціальності при вступі до творчої аспірантури.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F5C84" w:rsidRPr="00AF5C84">
        <w:rPr>
          <w:rFonts w:ascii="Times New Roman" w:hAnsi="Times New Roman"/>
          <w:sz w:val="28"/>
          <w:szCs w:val="28"/>
        </w:rPr>
        <w:t xml:space="preserve">. Вага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бала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 xml:space="preserve"> з кожного вступного випробування під час підрахування результатів конкурсу визначається у Правилах прийому.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="00AF5C84" w:rsidRPr="00AF5C84">
        <w:rPr>
          <w:rFonts w:ascii="Times New Roman" w:hAnsi="Times New Roman"/>
          <w:sz w:val="28"/>
          <w:szCs w:val="28"/>
        </w:rPr>
        <w:t xml:space="preserve">. Результати вступних випробувань 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-стажування дійсні для вступу до відповідного закладу вищої освіти мистецького спрямування до кінця наступного календарного року.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F5C84" w:rsidRPr="00AF5C84">
        <w:rPr>
          <w:rFonts w:ascii="Times New Roman" w:hAnsi="Times New Roman"/>
          <w:sz w:val="28"/>
          <w:szCs w:val="28"/>
        </w:rPr>
        <w:t xml:space="preserve">. Вступні випробування 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 xml:space="preserve">-стажування проводяться </w:t>
      </w:r>
      <w:r>
        <w:rPr>
          <w:rFonts w:ascii="Times New Roman" w:hAnsi="Times New Roman"/>
          <w:sz w:val="28"/>
          <w:szCs w:val="28"/>
        </w:rPr>
        <w:t xml:space="preserve">предметними комісіями, </w:t>
      </w:r>
      <w:r w:rsidR="00AF5C84" w:rsidRPr="00AF5C84">
        <w:rPr>
          <w:rFonts w:ascii="Times New Roman" w:hAnsi="Times New Roman"/>
          <w:sz w:val="28"/>
          <w:szCs w:val="28"/>
        </w:rPr>
        <w:t xml:space="preserve">до складу яких входить, як правило, три — п’ять осіб, які призначаються </w:t>
      </w:r>
      <w:r>
        <w:rPr>
          <w:rFonts w:ascii="Times New Roman" w:hAnsi="Times New Roman"/>
          <w:sz w:val="28"/>
          <w:szCs w:val="28"/>
        </w:rPr>
        <w:t>ректором 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AF5C84" w:rsidRPr="00AF5C84">
        <w:rPr>
          <w:rFonts w:ascii="Times New Roman" w:hAnsi="Times New Roman"/>
          <w:sz w:val="28"/>
          <w:szCs w:val="28"/>
        </w:rPr>
        <w:t xml:space="preserve"> До складу предметних комісій включаються науково-педагогічні працівники </w:t>
      </w:r>
      <w:r>
        <w:rPr>
          <w:rFonts w:ascii="Times New Roman" w:hAnsi="Times New Roman"/>
          <w:sz w:val="28"/>
          <w:szCs w:val="28"/>
        </w:rPr>
        <w:t>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 xml:space="preserve">, які мають науковий ступінь та/або вчене (почесне) звання та які відповідають за виконання відповідної освітньої складової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освітньо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-творчої програми.</w:t>
      </w:r>
    </w:p>
    <w:p w:rsidR="00DF434B" w:rsidRDefault="00AF5C84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AF5C84">
        <w:rPr>
          <w:rFonts w:ascii="Times New Roman" w:hAnsi="Times New Roman"/>
          <w:sz w:val="28"/>
          <w:szCs w:val="28"/>
        </w:rPr>
        <w:t xml:space="preserve">До складу предметних комісій можуть бути призначені також представники інших закладів вищої освіти мистецького спрямування, з якими укладено договори про провадження спільної творчої мистецької діяльності та/або про спільне виконання </w:t>
      </w:r>
      <w:proofErr w:type="spellStart"/>
      <w:r w:rsidRPr="00AF5C84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AF5C84">
        <w:rPr>
          <w:rFonts w:ascii="Times New Roman" w:hAnsi="Times New Roman"/>
          <w:sz w:val="28"/>
          <w:szCs w:val="28"/>
        </w:rPr>
        <w:t>-творчої програми.</w:t>
      </w:r>
    </w:p>
    <w:p w:rsidR="00DF434B" w:rsidRPr="00E46DC1" w:rsidRDefault="00DF434B" w:rsidP="00DF434B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DF434B" w:rsidRDefault="00DF434B" w:rsidP="00DF434B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AF5C84" w:rsidRPr="00AF5C84">
        <w:rPr>
          <w:rFonts w:ascii="Times New Roman" w:hAnsi="Times New Roman"/>
          <w:sz w:val="28"/>
          <w:szCs w:val="28"/>
        </w:rPr>
        <w:t xml:space="preserve">. Результати вступних випробувань до </w:t>
      </w:r>
      <w:proofErr w:type="spellStart"/>
      <w:r w:rsidR="00AF5C84" w:rsidRPr="00AF5C84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AF5C84" w:rsidRPr="00AF5C84">
        <w:rPr>
          <w:rFonts w:ascii="Times New Roman" w:hAnsi="Times New Roman"/>
          <w:sz w:val="28"/>
          <w:szCs w:val="28"/>
        </w:rPr>
        <w:t>-стажування можуть бути оскаржені здобувачем у порядку, визначеному у Правилах прийому.</w:t>
      </w:r>
    </w:p>
    <w:p w:rsidR="00F00D82" w:rsidRDefault="00F00D82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2A29" w:rsidRDefault="00C42A29" w:rsidP="00C42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42A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ІІІ. Навчання в </w:t>
      </w:r>
      <w:proofErr w:type="spellStart"/>
      <w:r w:rsidRPr="00F324E8">
        <w:rPr>
          <w:rFonts w:ascii="Times New Roman" w:hAnsi="Times New Roman"/>
          <w:b/>
          <w:sz w:val="36"/>
          <w:szCs w:val="36"/>
          <w:lang w:val="uk-UA"/>
        </w:rPr>
        <w:t>асистентурі</w:t>
      </w:r>
      <w:proofErr w:type="spellEnd"/>
      <w:r w:rsidRPr="00F324E8">
        <w:rPr>
          <w:rFonts w:ascii="Times New Roman" w:hAnsi="Times New Roman"/>
          <w:b/>
          <w:sz w:val="36"/>
          <w:szCs w:val="36"/>
          <w:lang w:val="uk-UA"/>
        </w:rPr>
        <w:t>-стажуванні</w:t>
      </w:r>
    </w:p>
    <w:p w:rsidR="00C42A29" w:rsidRPr="00C42A29" w:rsidRDefault="00C42A29" w:rsidP="00C42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42A29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 Н</w:t>
      </w:r>
      <w:r w:rsidRPr="00C42A29">
        <w:rPr>
          <w:rFonts w:ascii="Times New Roman" w:hAnsi="Times New Roman"/>
          <w:sz w:val="28"/>
          <w:szCs w:val="28"/>
          <w:lang w:val="uk-UA"/>
        </w:rPr>
        <w:t xml:space="preserve">авчання здобувачів у </w:t>
      </w:r>
      <w:proofErr w:type="spellStart"/>
      <w:r w:rsidRPr="00C42A29">
        <w:rPr>
          <w:rFonts w:ascii="Times New Roman" w:hAnsi="Times New Roman"/>
          <w:sz w:val="28"/>
          <w:szCs w:val="28"/>
          <w:lang w:val="uk-UA"/>
        </w:rPr>
        <w:t>асистентурі</w:t>
      </w:r>
      <w:proofErr w:type="spellEnd"/>
      <w:r w:rsidRPr="00C42A29">
        <w:rPr>
          <w:rFonts w:ascii="Times New Roman" w:hAnsi="Times New Roman"/>
          <w:sz w:val="28"/>
          <w:szCs w:val="28"/>
          <w:lang w:val="uk-UA"/>
        </w:rPr>
        <w:t xml:space="preserve">-стажуванні (далі — асистенти-стажисти) здійснюються за </w:t>
      </w:r>
      <w:proofErr w:type="spellStart"/>
      <w:r w:rsidRPr="00C42A29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C42A29">
        <w:rPr>
          <w:rFonts w:ascii="Times New Roman" w:hAnsi="Times New Roman"/>
          <w:sz w:val="28"/>
          <w:szCs w:val="28"/>
          <w:lang w:val="uk-UA"/>
        </w:rPr>
        <w:t>-творчими програмами, що розробляються на ос</w:t>
      </w:r>
      <w:r>
        <w:rPr>
          <w:rFonts w:ascii="Times New Roman" w:hAnsi="Times New Roman"/>
          <w:sz w:val="28"/>
          <w:szCs w:val="28"/>
          <w:lang w:val="uk-UA"/>
        </w:rPr>
        <w:t>нові стандарту вищої освіти за</w:t>
      </w:r>
      <w:r w:rsidRPr="00C42A29">
        <w:rPr>
          <w:rFonts w:ascii="Times New Roman" w:hAnsi="Times New Roman"/>
          <w:sz w:val="28"/>
          <w:szCs w:val="28"/>
          <w:lang w:val="uk-UA"/>
        </w:rPr>
        <w:t xml:space="preserve">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025 „Музичне мистецтво” та затверджуються Вченою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A29" w:rsidRPr="004A3C1F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42A29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3.2. </w:t>
      </w:r>
      <w:r w:rsidRPr="00C42A29">
        <w:rPr>
          <w:rFonts w:ascii="Times New Roman" w:hAnsi="Times New Roman"/>
          <w:sz w:val="28"/>
          <w:szCs w:val="28"/>
          <w:lang w:val="uk-UA"/>
        </w:rPr>
        <w:t xml:space="preserve">Підготовка здобувачів передбачає успішне виконання відповідної </w:t>
      </w:r>
      <w:proofErr w:type="spellStart"/>
      <w:r w:rsidRPr="00C42A29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C42A29">
        <w:rPr>
          <w:rFonts w:ascii="Times New Roman" w:hAnsi="Times New Roman"/>
          <w:sz w:val="28"/>
          <w:szCs w:val="28"/>
          <w:lang w:val="uk-UA"/>
        </w:rPr>
        <w:t xml:space="preserve">-творчої програми за </w:t>
      </w:r>
      <w:r>
        <w:rPr>
          <w:rFonts w:ascii="Times New Roman" w:hAnsi="Times New Roman"/>
          <w:sz w:val="28"/>
          <w:szCs w:val="28"/>
          <w:lang w:val="uk-UA"/>
        </w:rPr>
        <w:t>спеціальністю 025 „Музичне мистецтво”</w:t>
      </w:r>
      <w:r w:rsidRPr="00C42A29">
        <w:rPr>
          <w:rFonts w:ascii="Times New Roman" w:hAnsi="Times New Roman"/>
          <w:sz w:val="28"/>
          <w:szCs w:val="28"/>
          <w:lang w:val="uk-UA"/>
        </w:rPr>
        <w:t>, яка включає освітню і творчу мистецьку складові для асистентів-стажистів.</w:t>
      </w:r>
    </w:p>
    <w:p w:rsidR="00C42A29" w:rsidRPr="004A3C1F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42A29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3.3. </w:t>
      </w:r>
      <w:proofErr w:type="spellStart"/>
      <w:r w:rsidRPr="0095172F">
        <w:rPr>
          <w:rFonts w:ascii="Times New Roman" w:hAnsi="Times New Roman"/>
          <w:sz w:val="28"/>
          <w:szCs w:val="28"/>
        </w:rPr>
        <w:t>Освітньо-творча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асистентури-стажування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має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передбачати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набуття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таких компетентностей </w:t>
      </w:r>
      <w:proofErr w:type="spellStart"/>
      <w:r w:rsidRPr="0095172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5172F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рамки </w:t>
      </w:r>
      <w:proofErr w:type="spellStart"/>
      <w:r w:rsidRPr="0095172F">
        <w:rPr>
          <w:rFonts w:ascii="Times New Roman" w:hAnsi="Times New Roman"/>
          <w:sz w:val="28"/>
          <w:szCs w:val="28"/>
        </w:rPr>
        <w:t>кваліфікацій</w:t>
      </w:r>
      <w:proofErr w:type="spellEnd"/>
      <w:r w:rsidRPr="0095172F">
        <w:rPr>
          <w:rFonts w:ascii="Times New Roman" w:hAnsi="Times New Roman"/>
          <w:sz w:val="28"/>
          <w:szCs w:val="28"/>
        </w:rPr>
        <w:t>:</w:t>
      </w:r>
    </w:p>
    <w:p w:rsidR="00C42A29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2A29">
        <w:rPr>
          <w:rFonts w:ascii="Times New Roman" w:hAnsi="Times New Roman"/>
          <w:sz w:val="28"/>
          <w:szCs w:val="28"/>
          <w:lang w:val="uk-UA"/>
        </w:rPr>
        <w:t>здобуття поглиблених знань із спеціальності (спеціалізації), зокрема засвоєння найбільш передових концептуальних та методологічних знань в галузі професійної діяльності (не менше ніж чотири кредити Європейської системи);</w:t>
      </w:r>
    </w:p>
    <w:p w:rsidR="00C42A29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2A29">
        <w:rPr>
          <w:rFonts w:ascii="Times New Roman" w:hAnsi="Times New Roman"/>
          <w:sz w:val="28"/>
          <w:szCs w:val="28"/>
          <w:lang w:val="uk-UA"/>
        </w:rPr>
        <w:t>набуття практичних мистецьких компетенцій, зокрема вдосконалення творчої майстерності, застосування інноваційних методів та технік у творчій мистецькій діяльності, які дають можливість переосмислити наявну та створити нову професійну практику (не менше ніж шість кредитів Європейської системи).</w:t>
      </w:r>
    </w:p>
    <w:p w:rsidR="00C42A29" w:rsidRPr="004A3C1F" w:rsidRDefault="00C42A29" w:rsidP="00C42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3.4. </w:t>
      </w:r>
      <w:proofErr w:type="spellStart"/>
      <w:r w:rsidRPr="0095172F">
        <w:rPr>
          <w:rFonts w:ascii="Times New Roman" w:hAnsi="Times New Roman"/>
          <w:sz w:val="28"/>
          <w:szCs w:val="28"/>
        </w:rPr>
        <w:t>Освітньо-творча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є основою для формування здобувачем індивідуального навчального плану, у якому визначаються змі</w:t>
      </w:r>
      <w:proofErr w:type="gramStart"/>
      <w:r w:rsidRPr="0095172F">
        <w:rPr>
          <w:rFonts w:ascii="Times New Roman" w:hAnsi="Times New Roman"/>
          <w:sz w:val="28"/>
          <w:szCs w:val="28"/>
        </w:rPr>
        <w:t>ст</w:t>
      </w:r>
      <w:proofErr w:type="gramEnd"/>
      <w:r w:rsidRPr="0095172F">
        <w:rPr>
          <w:rFonts w:ascii="Times New Roman" w:hAnsi="Times New Roman"/>
          <w:sz w:val="28"/>
          <w:szCs w:val="28"/>
        </w:rPr>
        <w:t xml:space="preserve">, строки </w:t>
      </w:r>
      <w:proofErr w:type="spellStart"/>
      <w:r w:rsidRPr="0095172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172F">
        <w:rPr>
          <w:rFonts w:ascii="Times New Roman" w:hAnsi="Times New Roman"/>
          <w:sz w:val="28"/>
          <w:szCs w:val="28"/>
        </w:rPr>
        <w:t>обсяг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усіх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освітньо-творчої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5172F">
        <w:rPr>
          <w:rFonts w:ascii="Times New Roman" w:hAnsi="Times New Roman"/>
          <w:sz w:val="28"/>
          <w:szCs w:val="28"/>
        </w:rPr>
        <w:t>.</w:t>
      </w:r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72F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95172F">
        <w:rPr>
          <w:rFonts w:ascii="Times New Roman" w:hAnsi="Times New Roman"/>
          <w:sz w:val="28"/>
          <w:szCs w:val="28"/>
        </w:rPr>
        <w:t>погоджується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5172F">
        <w:rPr>
          <w:rFonts w:ascii="Times New Roman" w:hAnsi="Times New Roman"/>
          <w:sz w:val="28"/>
          <w:szCs w:val="28"/>
        </w:rPr>
        <w:t>його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творчим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5172F">
        <w:rPr>
          <w:rFonts w:ascii="Times New Roman" w:hAnsi="Times New Roman"/>
          <w:sz w:val="28"/>
          <w:szCs w:val="28"/>
        </w:rPr>
        <w:t>або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науковим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консультантом, </w:t>
      </w:r>
      <w:proofErr w:type="spellStart"/>
      <w:r w:rsidRPr="0095172F">
        <w:rPr>
          <w:rFonts w:ascii="Times New Roman" w:hAnsi="Times New Roman"/>
          <w:sz w:val="28"/>
          <w:szCs w:val="28"/>
        </w:rPr>
        <w:t>обговорюється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172F">
        <w:rPr>
          <w:rFonts w:ascii="Times New Roman" w:hAnsi="Times New Roman"/>
          <w:sz w:val="28"/>
          <w:szCs w:val="28"/>
        </w:rPr>
        <w:t>проф</w:t>
      </w:r>
      <w:proofErr w:type="gramEnd"/>
      <w:r w:rsidRPr="0095172F">
        <w:rPr>
          <w:rFonts w:ascii="Times New Roman" w:hAnsi="Times New Roman"/>
          <w:sz w:val="28"/>
          <w:szCs w:val="28"/>
        </w:rPr>
        <w:t>ільною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кафедрою (</w:t>
      </w:r>
      <w:proofErr w:type="spellStart"/>
      <w:r w:rsidRPr="0095172F">
        <w:rPr>
          <w:rFonts w:ascii="Times New Roman" w:hAnsi="Times New Roman"/>
          <w:sz w:val="28"/>
          <w:szCs w:val="28"/>
        </w:rPr>
        <w:t>групою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) та за </w:t>
      </w:r>
      <w:proofErr w:type="spellStart"/>
      <w:r w:rsidRPr="0095172F">
        <w:rPr>
          <w:rFonts w:ascii="Times New Roman" w:hAnsi="Times New Roman"/>
          <w:sz w:val="28"/>
          <w:szCs w:val="28"/>
        </w:rPr>
        <w:t>ї</w:t>
      </w:r>
      <w:r w:rsidR="004A3C1F">
        <w:rPr>
          <w:rFonts w:ascii="Times New Roman" w:hAnsi="Times New Roman"/>
          <w:sz w:val="28"/>
          <w:szCs w:val="28"/>
        </w:rPr>
        <w:t>ї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C1F">
        <w:rPr>
          <w:rFonts w:ascii="Times New Roman" w:hAnsi="Times New Roman"/>
          <w:sz w:val="28"/>
          <w:szCs w:val="28"/>
        </w:rPr>
        <w:t>рекомендацією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C1F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</w:t>
      </w:r>
      <w:r w:rsidR="004A3C1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95172F">
        <w:rPr>
          <w:rFonts w:ascii="Times New Roman" w:hAnsi="Times New Roman"/>
          <w:sz w:val="28"/>
          <w:szCs w:val="28"/>
        </w:rPr>
        <w:t>ченою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95172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двох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95172F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здобувача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до </w:t>
      </w:r>
      <w:r w:rsidR="004A3C1F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4A3C1F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72F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план є </w:t>
      </w:r>
      <w:proofErr w:type="spellStart"/>
      <w:r w:rsidRPr="0095172F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5172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5172F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5172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запланованої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роботи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172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lastRenderedPageBreak/>
        <w:t>строків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плану без </w:t>
      </w:r>
      <w:proofErr w:type="spellStart"/>
      <w:r w:rsidRPr="0095172F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95172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72F">
        <w:rPr>
          <w:rFonts w:ascii="Times New Roman" w:hAnsi="Times New Roman"/>
          <w:sz w:val="28"/>
          <w:szCs w:val="28"/>
        </w:rPr>
        <w:t>мож</w:t>
      </w:r>
      <w:r w:rsidR="004A3C1F">
        <w:rPr>
          <w:rFonts w:ascii="Times New Roman" w:hAnsi="Times New Roman"/>
          <w:sz w:val="28"/>
          <w:szCs w:val="28"/>
        </w:rPr>
        <w:t>е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proofErr w:type="gramStart"/>
      <w:r w:rsidR="004A3C1F">
        <w:rPr>
          <w:rFonts w:ascii="Times New Roman" w:hAnsi="Times New Roman"/>
          <w:sz w:val="28"/>
          <w:szCs w:val="28"/>
        </w:rPr>
        <w:t>п</w:t>
      </w:r>
      <w:proofErr w:type="gramEnd"/>
      <w:r w:rsidR="004A3C1F">
        <w:rPr>
          <w:rFonts w:ascii="Times New Roman" w:hAnsi="Times New Roman"/>
          <w:sz w:val="28"/>
          <w:szCs w:val="28"/>
        </w:rPr>
        <w:t>ідставою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A3C1F">
        <w:rPr>
          <w:rFonts w:ascii="Times New Roman" w:hAnsi="Times New Roman"/>
          <w:sz w:val="28"/>
          <w:szCs w:val="28"/>
        </w:rPr>
        <w:t>ухвалення</w:t>
      </w:r>
      <w:proofErr w:type="spellEnd"/>
      <w:r w:rsidR="004A3C1F">
        <w:rPr>
          <w:rFonts w:ascii="Times New Roman" w:hAnsi="Times New Roman"/>
          <w:sz w:val="28"/>
          <w:szCs w:val="28"/>
        </w:rPr>
        <w:t xml:space="preserve"> </w:t>
      </w:r>
      <w:r w:rsidR="004A3C1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95172F">
        <w:rPr>
          <w:rFonts w:ascii="Times New Roman" w:hAnsi="Times New Roman"/>
          <w:sz w:val="28"/>
          <w:szCs w:val="28"/>
        </w:rPr>
        <w:t>ченою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95172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5172F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здобувача</w:t>
      </w:r>
      <w:proofErr w:type="spellEnd"/>
      <w:r w:rsidRPr="0095172F">
        <w:rPr>
          <w:rFonts w:ascii="Times New Roman" w:hAnsi="Times New Roman"/>
          <w:sz w:val="28"/>
          <w:szCs w:val="28"/>
        </w:rPr>
        <w:t>.</w:t>
      </w:r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72F">
        <w:rPr>
          <w:rFonts w:ascii="Times New Roman" w:hAnsi="Times New Roman"/>
          <w:sz w:val="28"/>
          <w:szCs w:val="28"/>
        </w:rPr>
        <w:t>Зміни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5172F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95172F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72F">
        <w:rPr>
          <w:rFonts w:ascii="Times New Roman" w:hAnsi="Times New Roman"/>
          <w:sz w:val="28"/>
          <w:szCs w:val="28"/>
        </w:rPr>
        <w:t>погоджуються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172F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172F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r w:rsidR="004A3C1F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4A3C1F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F324E8">
        <w:rPr>
          <w:rFonts w:ascii="Times New Roman" w:hAnsi="Times New Roman"/>
          <w:sz w:val="28"/>
          <w:szCs w:val="28"/>
          <w:lang w:val="uk-UA"/>
        </w:rPr>
        <w:t xml:space="preserve"> порядку.</w:t>
      </w:r>
    </w:p>
    <w:p w:rsidR="004A3C1F" w:rsidRP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3.5. </w:t>
      </w:r>
      <w:r w:rsidR="00C42A29" w:rsidRPr="004A3C1F">
        <w:rPr>
          <w:rFonts w:ascii="Times New Roman" w:hAnsi="Times New Roman"/>
          <w:sz w:val="28"/>
          <w:szCs w:val="28"/>
          <w:lang w:val="uk-UA"/>
        </w:rPr>
        <w:t>Засвоєння здобувачем навчальних дисциплін може відбуватися на базі закладу вищої освіти мистецького спрямування, до якого зарахований аспірант, а також у рамках реалізації права на академічну мобільність — на базі інших закладів вищої освіти мистецького спрямування.</w:t>
      </w:r>
    </w:p>
    <w:p w:rsidR="004A3C1F" w:rsidRP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3.6. </w:t>
      </w:r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У разі підтвердження здобувачем рівня знання іноземної мови, зокрема англійської, дійсним сертифікатом тестів </w:t>
      </w:r>
      <w:r w:rsidR="00C42A29" w:rsidRPr="0095172F">
        <w:rPr>
          <w:rFonts w:ascii="Times New Roman" w:hAnsi="Times New Roman"/>
          <w:sz w:val="28"/>
          <w:szCs w:val="28"/>
        </w:rPr>
        <w:t>TOEFL</w:t>
      </w:r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International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English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Language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Testing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System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>, або сертифікатом С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ambridge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English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Language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Assessment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на рівні С1 Загальноєвропейських рекомендацій з </w:t>
      </w:r>
      <w:proofErr w:type="spellStart"/>
      <w:r w:rsidR="00C42A29" w:rsidRPr="004A3C1F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 освіти заклад вищої освіти мистецького спрямування має право зарахувати відповідні кредити Європейської системи, передбачені </w:t>
      </w:r>
      <w:proofErr w:type="spellStart"/>
      <w:r w:rsidR="00C42A29" w:rsidRPr="004A3C1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>-творчою програмою, як такі, що виконані у повному обсязі.</w:t>
      </w:r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72F">
        <w:rPr>
          <w:rFonts w:ascii="Times New Roman" w:hAnsi="Times New Roman"/>
          <w:sz w:val="28"/>
          <w:szCs w:val="28"/>
        </w:rPr>
        <w:t>Обсяг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72F">
        <w:rPr>
          <w:rFonts w:ascii="Times New Roman" w:hAnsi="Times New Roman"/>
          <w:sz w:val="28"/>
          <w:szCs w:val="28"/>
        </w:rPr>
        <w:t>передбачений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5172F">
        <w:rPr>
          <w:rFonts w:ascii="Times New Roman" w:hAnsi="Times New Roman"/>
          <w:sz w:val="28"/>
          <w:szCs w:val="28"/>
        </w:rPr>
        <w:t>набуття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мовних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компетентностей, </w:t>
      </w:r>
      <w:proofErr w:type="spellStart"/>
      <w:r w:rsidRPr="0095172F">
        <w:rPr>
          <w:rFonts w:ascii="Times New Roman" w:hAnsi="Times New Roman"/>
          <w:sz w:val="28"/>
          <w:szCs w:val="28"/>
        </w:rPr>
        <w:t>може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бути використаний здобувачем для </w:t>
      </w:r>
      <w:proofErr w:type="spellStart"/>
      <w:r w:rsidRPr="0095172F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іншими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компетентностями за </w:t>
      </w:r>
      <w:proofErr w:type="spellStart"/>
      <w:r w:rsidRPr="0095172F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5172F">
        <w:rPr>
          <w:rFonts w:ascii="Times New Roman" w:hAnsi="Times New Roman"/>
          <w:sz w:val="28"/>
          <w:szCs w:val="28"/>
        </w:rPr>
        <w:t>творчим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5172F">
        <w:rPr>
          <w:rFonts w:ascii="Times New Roman" w:hAnsi="Times New Roman"/>
          <w:sz w:val="28"/>
          <w:szCs w:val="28"/>
        </w:rPr>
        <w:t>або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2F">
        <w:rPr>
          <w:rFonts w:ascii="Times New Roman" w:hAnsi="Times New Roman"/>
          <w:sz w:val="28"/>
          <w:szCs w:val="28"/>
        </w:rPr>
        <w:t>науковим</w:t>
      </w:r>
      <w:proofErr w:type="spellEnd"/>
      <w:r w:rsidRPr="0095172F">
        <w:rPr>
          <w:rFonts w:ascii="Times New Roman" w:hAnsi="Times New Roman"/>
          <w:sz w:val="28"/>
          <w:szCs w:val="28"/>
        </w:rPr>
        <w:t xml:space="preserve"> консультантом.</w:t>
      </w:r>
    </w:p>
    <w:p w:rsidR="004A3C1F" w:rsidRP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3.7. </w:t>
      </w:r>
      <w:r w:rsidR="00C42A29" w:rsidRPr="004A3C1F">
        <w:rPr>
          <w:rFonts w:ascii="Times New Roman" w:hAnsi="Times New Roman"/>
          <w:sz w:val="28"/>
          <w:szCs w:val="28"/>
          <w:lang w:val="uk-UA"/>
        </w:rPr>
        <w:t xml:space="preserve">Вчена рада має право прийняти рішення про зарахування кредитів Європейської системи, отриманих здобувачем в інших закладах вищої освіти, обов’язкове здобуття яких передбачено </w:t>
      </w:r>
      <w:proofErr w:type="spellStart"/>
      <w:r w:rsidR="00C42A29" w:rsidRPr="004A3C1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C42A29" w:rsidRPr="004A3C1F">
        <w:rPr>
          <w:rFonts w:ascii="Times New Roman" w:hAnsi="Times New Roman"/>
          <w:sz w:val="28"/>
          <w:szCs w:val="28"/>
          <w:lang w:val="uk-UA"/>
        </w:rPr>
        <w:t>-творчою програмою.</w:t>
      </w:r>
    </w:p>
    <w:p w:rsidR="004A3C1F" w:rsidRDefault="00C42A29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3C1F">
        <w:rPr>
          <w:rFonts w:ascii="Times New Roman" w:hAnsi="Times New Roman"/>
          <w:sz w:val="28"/>
          <w:szCs w:val="28"/>
          <w:lang w:val="uk-UA"/>
        </w:rPr>
        <w:t xml:space="preserve">Кредити Європейської системи, отримані здобувачем під час навчання в </w:t>
      </w:r>
      <w:proofErr w:type="spellStart"/>
      <w:r w:rsidRPr="004A3C1F">
        <w:rPr>
          <w:rFonts w:ascii="Times New Roman" w:hAnsi="Times New Roman"/>
          <w:sz w:val="28"/>
          <w:szCs w:val="28"/>
          <w:lang w:val="uk-UA"/>
        </w:rPr>
        <w:t>асистентурі</w:t>
      </w:r>
      <w:proofErr w:type="spellEnd"/>
      <w:r w:rsidRPr="004A3C1F">
        <w:rPr>
          <w:rFonts w:ascii="Times New Roman" w:hAnsi="Times New Roman"/>
          <w:sz w:val="28"/>
          <w:szCs w:val="28"/>
          <w:lang w:val="uk-UA"/>
        </w:rPr>
        <w:t xml:space="preserve">-стажуванні та передбачені </w:t>
      </w:r>
      <w:proofErr w:type="spellStart"/>
      <w:r w:rsidRPr="004A3C1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4A3C1F">
        <w:rPr>
          <w:rFonts w:ascii="Times New Roman" w:hAnsi="Times New Roman"/>
          <w:sz w:val="28"/>
          <w:szCs w:val="28"/>
          <w:lang w:val="uk-UA"/>
        </w:rPr>
        <w:t>-творчою програмою творчої аспірантури, можуть бути зараховані у відповідному обсязі за рішенням вченої ради.</w:t>
      </w:r>
    </w:p>
    <w:p w:rsidR="004A3C1F" w:rsidRPr="004A3C1F" w:rsidRDefault="004A3C1F" w:rsidP="004A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A3C1F" w:rsidRDefault="004A3C1F" w:rsidP="004A3C1F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bookmarkStart w:id="3" w:name="n121"/>
      <w:bookmarkStart w:id="4" w:name="n122"/>
      <w:bookmarkStart w:id="5" w:name="n123"/>
      <w:bookmarkStart w:id="6" w:name="n124"/>
      <w:bookmarkStart w:id="7" w:name="n125"/>
      <w:bookmarkStart w:id="8" w:name="n126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>3.8</w:t>
      </w:r>
      <w:r w:rsidR="00C42A29" w:rsidRPr="0095172F">
        <w:rPr>
          <w:rFonts w:ascii="Times New Roman" w:hAnsi="Times New Roman"/>
          <w:sz w:val="28"/>
          <w:szCs w:val="28"/>
        </w:rPr>
        <w:t xml:space="preserve">. Творча мистецька складова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освітньо</w:t>
      </w:r>
      <w:proofErr w:type="spellEnd"/>
      <w:r w:rsidR="00C42A29" w:rsidRPr="0095172F">
        <w:rPr>
          <w:rFonts w:ascii="Times New Roman" w:hAnsi="Times New Roman"/>
          <w:sz w:val="28"/>
          <w:szCs w:val="28"/>
        </w:rPr>
        <w:t xml:space="preserve">-творчої програми </w:t>
      </w:r>
      <w:proofErr w:type="spellStart"/>
      <w:r w:rsidR="00C42A29" w:rsidRPr="0095172F">
        <w:rPr>
          <w:rFonts w:ascii="Times New Roman" w:hAnsi="Times New Roman"/>
          <w:sz w:val="28"/>
          <w:szCs w:val="28"/>
        </w:rPr>
        <w:t>асистентури</w:t>
      </w:r>
      <w:proofErr w:type="spellEnd"/>
      <w:r w:rsidR="00C42A29" w:rsidRPr="0095172F">
        <w:rPr>
          <w:rFonts w:ascii="Times New Roman" w:hAnsi="Times New Roman"/>
          <w:sz w:val="28"/>
          <w:szCs w:val="28"/>
        </w:rPr>
        <w:t>-стажування передб</w:t>
      </w:r>
      <w:r>
        <w:rPr>
          <w:rFonts w:ascii="Times New Roman" w:hAnsi="Times New Roman"/>
          <w:sz w:val="28"/>
          <w:szCs w:val="28"/>
        </w:rPr>
        <w:t>ачає підготовку творчого звіту.</w:t>
      </w:r>
    </w:p>
    <w:p w:rsidR="004A3C1F" w:rsidRPr="004A3C1F" w:rsidRDefault="004A3C1F" w:rsidP="004A3C1F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:rsidR="00C42A29" w:rsidRPr="0095172F" w:rsidRDefault="004A3C1F" w:rsidP="004A3C1F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</w:t>
      </w:r>
      <w:r w:rsidR="00C42A29" w:rsidRPr="0095172F">
        <w:rPr>
          <w:rFonts w:ascii="Times New Roman" w:hAnsi="Times New Roman"/>
          <w:sz w:val="28"/>
          <w:szCs w:val="28"/>
        </w:rPr>
        <w:t>Атестація асистентів-стажистів здійснюється екзаменаційною комісією закладу вищої освіти мистецького спрямування на підставі захисту творчого звіту.</w:t>
      </w:r>
    </w:p>
    <w:p w:rsidR="00E46DC1" w:rsidRDefault="00E46DC1" w:rsidP="004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6DC1" w:rsidRDefault="00E46DC1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C1F" w:rsidRDefault="004A3C1F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C1F" w:rsidRDefault="004A3C1F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C1F" w:rsidRDefault="004A3C1F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C1F" w:rsidRDefault="004A3C1F" w:rsidP="000B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_GoBack"/>
      <w:bookmarkEnd w:id="9"/>
    </w:p>
    <w:sectPr w:rsidR="004A3C1F" w:rsidSect="00F575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C76"/>
    <w:multiLevelType w:val="hybridMultilevel"/>
    <w:tmpl w:val="ED56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22E44"/>
    <w:multiLevelType w:val="multilevel"/>
    <w:tmpl w:val="2572DD5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0BC0797"/>
    <w:multiLevelType w:val="multilevel"/>
    <w:tmpl w:val="C3C62AB4"/>
    <w:lvl w:ilvl="0">
      <w:start w:val="1"/>
      <w:numFmt w:val="decimal"/>
      <w:lvlText w:val="%1."/>
      <w:lvlJc w:val="left"/>
      <w:pPr>
        <w:ind w:left="945" w:hanging="94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395" w:hanging="945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45" w:hanging="945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Theme="minorHAnsi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7"/>
    <w:rsid w:val="00033771"/>
    <w:rsid w:val="000B0788"/>
    <w:rsid w:val="000B3B3E"/>
    <w:rsid w:val="001327BE"/>
    <w:rsid w:val="001F0425"/>
    <w:rsid w:val="00271177"/>
    <w:rsid w:val="00285B1D"/>
    <w:rsid w:val="00294FC3"/>
    <w:rsid w:val="002A2EDB"/>
    <w:rsid w:val="00343F9E"/>
    <w:rsid w:val="00345DE5"/>
    <w:rsid w:val="0035040C"/>
    <w:rsid w:val="003A2EEE"/>
    <w:rsid w:val="003B657D"/>
    <w:rsid w:val="003F642A"/>
    <w:rsid w:val="0045134F"/>
    <w:rsid w:val="004547DC"/>
    <w:rsid w:val="004A3C1F"/>
    <w:rsid w:val="004D07E7"/>
    <w:rsid w:val="004F0BD9"/>
    <w:rsid w:val="0050655C"/>
    <w:rsid w:val="005757B9"/>
    <w:rsid w:val="005C2971"/>
    <w:rsid w:val="0061550C"/>
    <w:rsid w:val="00641D0F"/>
    <w:rsid w:val="006C3885"/>
    <w:rsid w:val="006E1686"/>
    <w:rsid w:val="0074274B"/>
    <w:rsid w:val="00787F15"/>
    <w:rsid w:val="007A0AC6"/>
    <w:rsid w:val="007A2C3F"/>
    <w:rsid w:val="007B3C50"/>
    <w:rsid w:val="007E098A"/>
    <w:rsid w:val="007F75D0"/>
    <w:rsid w:val="008E366A"/>
    <w:rsid w:val="008E5D57"/>
    <w:rsid w:val="008E6B6B"/>
    <w:rsid w:val="008F2D4E"/>
    <w:rsid w:val="0092665E"/>
    <w:rsid w:val="009B498E"/>
    <w:rsid w:val="009E1239"/>
    <w:rsid w:val="00A30E75"/>
    <w:rsid w:val="00AB0948"/>
    <w:rsid w:val="00AD0DA7"/>
    <w:rsid w:val="00AF5C84"/>
    <w:rsid w:val="00B12786"/>
    <w:rsid w:val="00B54C5B"/>
    <w:rsid w:val="00BA5CC0"/>
    <w:rsid w:val="00BE762D"/>
    <w:rsid w:val="00C347D3"/>
    <w:rsid w:val="00C42A29"/>
    <w:rsid w:val="00C65B5F"/>
    <w:rsid w:val="00C750DE"/>
    <w:rsid w:val="00D0330A"/>
    <w:rsid w:val="00D46E29"/>
    <w:rsid w:val="00D53E7C"/>
    <w:rsid w:val="00D71250"/>
    <w:rsid w:val="00DB4572"/>
    <w:rsid w:val="00DC5AB4"/>
    <w:rsid w:val="00DF15C8"/>
    <w:rsid w:val="00DF434B"/>
    <w:rsid w:val="00DF7179"/>
    <w:rsid w:val="00E42FFC"/>
    <w:rsid w:val="00E45863"/>
    <w:rsid w:val="00E46DC1"/>
    <w:rsid w:val="00EA7A26"/>
    <w:rsid w:val="00F00D82"/>
    <w:rsid w:val="00F324E8"/>
    <w:rsid w:val="00F57518"/>
    <w:rsid w:val="00F618BA"/>
    <w:rsid w:val="00F8299B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AF5C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AF5C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AF5C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AF5C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80BD-35E7-431F-932F-9D36DD36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48</cp:revision>
  <cp:lastPrinted>2019-02-04T10:37:00Z</cp:lastPrinted>
  <dcterms:created xsi:type="dcterms:W3CDTF">2019-01-25T13:45:00Z</dcterms:created>
  <dcterms:modified xsi:type="dcterms:W3CDTF">2019-12-06T12:03:00Z</dcterms:modified>
</cp:coreProperties>
</file>