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B" w:rsidRDefault="000253EB" w:rsidP="000253EB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/>
          <w:b/>
          <w:sz w:val="34"/>
          <w:szCs w:val="34"/>
          <w:lang w:val="uk-UA"/>
        </w:rPr>
      </w:pPr>
      <w:r>
        <w:rPr>
          <w:rFonts w:ascii="Times New Roman" w:hAnsi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0253EB" w:rsidRDefault="000253EB" w:rsidP="000253E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uk-UA"/>
        </w:rPr>
      </w:pPr>
    </w:p>
    <w:p w:rsidR="000253EB" w:rsidRDefault="000253EB" w:rsidP="000253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0253EB" w:rsidRDefault="000253EB" w:rsidP="000253E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</w:rPr>
        <w:t>Вчено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 w:val="uk-UA"/>
        </w:rPr>
        <w:t>и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Дніпропетровськ</w:t>
      </w:r>
      <w:r>
        <w:rPr>
          <w:rFonts w:ascii="Times New Roman" w:hAnsi="Times New Roman" w:cs="Times New Roman"/>
          <w:lang w:val="uk-UA"/>
        </w:rPr>
        <w:t>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академі</w:t>
      </w:r>
      <w:proofErr w:type="spellEnd"/>
      <w:r>
        <w:rPr>
          <w:rFonts w:ascii="Times New Roman" w:hAnsi="Times New Roman" w:cs="Times New Roman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</w:rPr>
        <w:t>музики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М.Глінки</w:t>
      </w:r>
      <w:proofErr w:type="spellEnd"/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  <w:lang w:val="uk-UA"/>
        </w:rPr>
        <w:t> 18 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п</w:t>
      </w:r>
      <w:proofErr w:type="spellStart"/>
      <w:r>
        <w:rPr>
          <w:rFonts w:ascii="Times New Roman" w:hAnsi="Times New Roman" w:cs="Times New Roman"/>
          <w:lang w:val="uk-UA"/>
        </w:rPr>
        <w:t>ротокол</w:t>
      </w:r>
      <w:proofErr w:type="spellEnd"/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>  </w:t>
      </w:r>
      <w:r>
        <w:rPr>
          <w:rFonts w:ascii="Times New Roman" w:hAnsi="Times New Roman" w:cs="Times New Roman"/>
          <w:i/>
          <w:u w:val="single"/>
          <w:lang w:val="uk-UA"/>
        </w:rPr>
        <w:t>4</w:t>
      </w:r>
      <w:r>
        <w:rPr>
          <w:rFonts w:ascii="Times New Roman" w:hAnsi="Times New Roman" w:cs="Times New Roman"/>
          <w:u w:val="single"/>
          <w:lang w:val="uk-UA"/>
        </w:rPr>
        <w:t>  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0A62C1" w:rsidRDefault="000A62C1" w:rsidP="000A62C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</w:rPr>
        <w:t>18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i/>
          <w:u w:val="single"/>
        </w:rPr>
        <w:t>124</w:t>
      </w:r>
    </w:p>
    <w:p w:rsidR="000A62C1" w:rsidRDefault="000A62C1" w:rsidP="000A62C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0253EB" w:rsidRDefault="000253EB" w:rsidP="000253EB">
      <w:pPr>
        <w:spacing w:after="0" w:line="240" w:lineRule="auto"/>
        <w:ind w:left="5387"/>
        <w:rPr>
          <w:rFonts w:ascii="Times New Roman" w:hAnsi="Times New Roman"/>
          <w:i/>
          <w:sz w:val="24"/>
          <w:szCs w:val="24"/>
          <w:u w:val="single"/>
          <w:lang w:val="uk-UA"/>
        </w:rPr>
      </w:pPr>
      <w:bookmarkStart w:id="0" w:name="_GoBack"/>
      <w:bookmarkEnd w:id="0"/>
    </w:p>
    <w:p w:rsidR="000253EB" w:rsidRDefault="000253EB" w:rsidP="000253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к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3EB" w:rsidRDefault="000253EB" w:rsidP="000253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ПОЛОЖЕННЯ</w:t>
      </w:r>
    </w:p>
    <w:p w:rsidR="000253EB" w:rsidRPr="000253EB" w:rsidRDefault="000253EB" w:rsidP="000253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56"/>
          <w:szCs w:val="56"/>
          <w:lang w:val="uk-UA"/>
        </w:rPr>
      </w:pPr>
      <w:r w:rsidRPr="000253EB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ПРО </w:t>
      </w:r>
      <w:r w:rsidR="00187EAB">
        <w:rPr>
          <w:rFonts w:ascii="Times New Roman" w:hAnsi="Times New Roman" w:cs="Times New Roman"/>
          <w:b/>
          <w:color w:val="000000"/>
          <w:sz w:val="56"/>
          <w:szCs w:val="56"/>
          <w:lang w:val="uk-UA"/>
        </w:rPr>
        <w:t xml:space="preserve">ТВОРЧУ </w:t>
      </w:r>
      <w:r w:rsidRPr="000253EB">
        <w:rPr>
          <w:rFonts w:ascii="Times New Roman" w:hAnsi="Times New Roman" w:cs="Times New Roman"/>
          <w:b/>
          <w:color w:val="000000"/>
          <w:sz w:val="56"/>
          <w:szCs w:val="56"/>
          <w:lang w:val="uk-UA"/>
        </w:rPr>
        <w:t>АСПІРАНТУРУ</w:t>
      </w:r>
    </w:p>
    <w:p w:rsidR="000253EB" w:rsidRDefault="000253EB" w:rsidP="000253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7EAB" w:rsidRDefault="00187EA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3EB" w:rsidRDefault="000253EB" w:rsidP="000253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Дніпро–201</w:t>
      </w:r>
      <w:bookmarkStart w:id="1" w:name="n16"/>
      <w:bookmarkEnd w:id="1"/>
      <w:r w:rsidR="00187EAB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</w:p>
    <w:p w:rsidR="008362BE" w:rsidRPr="00AD4890" w:rsidRDefault="006E1686" w:rsidP="00AD489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836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I</w:t>
      </w:r>
      <w:r w:rsidR="00BE0908" w:rsidRPr="008362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. </w:t>
      </w:r>
      <w:r w:rsidR="00AD4890" w:rsidRPr="00AD48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ЗАГАЛЬНА ЧАСТИНА</w:t>
      </w:r>
    </w:p>
    <w:p w:rsidR="001A102B" w:rsidRDefault="005757B9" w:rsidP="001A102B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1.1 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 механізм здобуття </w:t>
      </w:r>
      <w:proofErr w:type="spellStart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-творчого ступеня доктора мистецтва та навчання в </w:t>
      </w:r>
      <w:proofErr w:type="spellStart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-стажуванні здобувачами вищої освіти на третьому (</w:t>
      </w:r>
      <w:proofErr w:type="spellStart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-творчому) рівні (далі - здобувачі) 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187EAB">
        <w:rPr>
          <w:rFonts w:ascii="Times New Roman" w:hAnsi="Times New Roman" w:cs="Times New Roman"/>
          <w:sz w:val="28"/>
          <w:szCs w:val="28"/>
          <w:lang w:val="uk-UA"/>
        </w:rPr>
        <w:t>Дніпропетровській академії музики ім. </w:t>
      </w:r>
      <w:proofErr w:type="spellStart"/>
      <w:r w:rsidR="00187EAB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187EAB">
        <w:rPr>
          <w:rFonts w:ascii="Times New Roman" w:hAnsi="Times New Roman" w:cs="Times New Roman"/>
          <w:sz w:val="28"/>
          <w:szCs w:val="28"/>
          <w:lang w:val="uk-UA"/>
        </w:rPr>
        <w:t xml:space="preserve"> (далі – ДАМ ім. </w:t>
      </w:r>
      <w:proofErr w:type="spellStart"/>
      <w:r w:rsidR="00187EAB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187EAB">
        <w:rPr>
          <w:rFonts w:ascii="Times New Roman" w:hAnsi="Times New Roman" w:cs="Times New Roman"/>
          <w:sz w:val="28"/>
          <w:szCs w:val="28"/>
          <w:lang w:val="uk-UA"/>
        </w:rPr>
        <w:t>) за</w:t>
      </w:r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галуззю</w:t>
      </w:r>
      <w:r w:rsidR="00187EAB" w:rsidRP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 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02„Культура і мистецтво”, спеціальністю 025 „Музичне мистецтво”.</w:t>
      </w:r>
    </w:p>
    <w:p w:rsidR="001A102B" w:rsidRPr="001A102B" w:rsidRDefault="001A102B" w:rsidP="001A102B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757B9" w:rsidRPr="001A102B" w:rsidRDefault="006E1686" w:rsidP="001A102B">
      <w:pPr>
        <w:shd w:val="clear" w:color="auto" w:fill="FFFFFF"/>
        <w:spacing w:after="0" w:line="240" w:lineRule="auto"/>
        <w:ind w:right="45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1.2 </w:t>
      </w:r>
      <w:r w:rsidR="00187E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спірантура </w:t>
      </w:r>
      <w:r w:rsidR="00187EAB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187EAB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4F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в своїй діяльності керується вимогами законів України „Про вищу освіту”, </w:t>
      </w:r>
      <w:r w:rsidR="00187E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Постановою КМУ № 865 від 24</w:t>
      </w:r>
      <w:r w:rsidR="001327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87EA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жовтня 2018</w:t>
      </w:r>
      <w:r w:rsidR="001A102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327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р. „</w:t>
      </w:r>
      <w:r w:rsidR="00187EAB" w:rsidRPr="00187EAB">
        <w:rPr>
          <w:rFonts w:ascii="Times New Roman" w:hAnsi="Times New Roman"/>
          <w:color w:val="1D1D1B"/>
          <w:sz w:val="28"/>
          <w:szCs w:val="28"/>
          <w:lang w:val="uk-UA"/>
        </w:rPr>
        <w:t xml:space="preserve">Про затвердження Порядку здобуття </w:t>
      </w:r>
      <w:proofErr w:type="spellStart"/>
      <w:r w:rsidR="00187EAB" w:rsidRPr="00187EAB">
        <w:rPr>
          <w:rFonts w:ascii="Times New Roman" w:hAnsi="Times New Roman"/>
          <w:color w:val="1D1D1B"/>
          <w:sz w:val="28"/>
          <w:szCs w:val="28"/>
          <w:lang w:val="uk-UA"/>
        </w:rPr>
        <w:t>освітньо</w:t>
      </w:r>
      <w:proofErr w:type="spellEnd"/>
      <w:r w:rsidR="00187EAB" w:rsidRPr="00187EAB">
        <w:rPr>
          <w:rFonts w:ascii="Times New Roman" w:hAnsi="Times New Roman"/>
          <w:color w:val="1D1D1B"/>
          <w:sz w:val="28"/>
          <w:szCs w:val="28"/>
          <w:lang w:val="uk-UA"/>
        </w:rPr>
        <w:t xml:space="preserve">-творчого ступеня доктора мистецтва та навчання в </w:t>
      </w:r>
      <w:proofErr w:type="spellStart"/>
      <w:r w:rsidR="00187EAB" w:rsidRPr="00187EAB">
        <w:rPr>
          <w:rFonts w:ascii="Times New Roman" w:hAnsi="Times New Roman"/>
          <w:color w:val="1D1D1B"/>
          <w:sz w:val="28"/>
          <w:szCs w:val="28"/>
          <w:lang w:val="uk-UA"/>
        </w:rPr>
        <w:t>асистентурі</w:t>
      </w:r>
      <w:proofErr w:type="spellEnd"/>
      <w:r w:rsidR="00187EAB" w:rsidRPr="00187EAB">
        <w:rPr>
          <w:rFonts w:ascii="Times New Roman" w:hAnsi="Times New Roman"/>
          <w:color w:val="1D1D1B"/>
          <w:sz w:val="28"/>
          <w:szCs w:val="28"/>
          <w:lang w:val="uk-UA"/>
        </w:rPr>
        <w:t>-стажуванні</w:t>
      </w:r>
      <w:r w:rsidR="00C27F31">
        <w:rPr>
          <w:rStyle w:val="rvts23"/>
          <w:rFonts w:ascii="Times New Roman" w:hAnsi="Times New Roman" w:cs="Times New Roman"/>
          <w:sz w:val="28"/>
          <w:szCs w:val="28"/>
          <w:lang w:val="uk-UA"/>
        </w:rPr>
        <w:t>” та</w:t>
      </w:r>
      <w:r w:rsidR="001327BE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 нормативно-правових документів.</w:t>
      </w:r>
    </w:p>
    <w:p w:rsidR="005757B9" w:rsidRPr="008362BE" w:rsidRDefault="005757B9" w:rsidP="005757B9">
      <w:pPr>
        <w:shd w:val="clear" w:color="auto" w:fill="FFFFFF"/>
        <w:spacing w:after="0" w:line="240" w:lineRule="auto"/>
        <w:ind w:right="450"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36138" w:rsidRPr="008F76C2" w:rsidRDefault="005757B9" w:rsidP="008F76C2">
      <w:pPr>
        <w:pStyle w:val="ab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 w:rsidRPr="005757B9">
        <w:rPr>
          <w:rFonts w:ascii="Times New Roman" w:hAnsi="Times New Roman"/>
          <w:color w:val="000000"/>
          <w:sz w:val="28"/>
          <w:szCs w:val="28"/>
        </w:rPr>
        <w:t>1.3. </w:t>
      </w:r>
      <w:r w:rsidR="00C27F31" w:rsidRPr="0095172F">
        <w:rPr>
          <w:rFonts w:ascii="Times New Roman" w:hAnsi="Times New Roman"/>
          <w:sz w:val="28"/>
          <w:szCs w:val="28"/>
        </w:rPr>
        <w:t xml:space="preserve">Підготовка здобувачів у творчій аспірантурі </w:t>
      </w:r>
      <w:r w:rsidR="00E36138">
        <w:rPr>
          <w:rFonts w:ascii="Times New Roman" w:hAnsi="Times New Roman"/>
          <w:sz w:val="28"/>
          <w:szCs w:val="28"/>
        </w:rPr>
        <w:t>ДАМ ім. </w:t>
      </w:r>
      <w:proofErr w:type="spellStart"/>
      <w:r w:rsidR="00E36138">
        <w:rPr>
          <w:rFonts w:ascii="Times New Roman" w:hAnsi="Times New Roman"/>
          <w:sz w:val="28"/>
          <w:szCs w:val="28"/>
        </w:rPr>
        <w:t>М.Глінки</w:t>
      </w:r>
      <w:proofErr w:type="spellEnd"/>
      <w:r w:rsidR="008F76C2">
        <w:rPr>
          <w:rFonts w:ascii="Times New Roman" w:hAnsi="Times New Roman"/>
          <w:sz w:val="28"/>
          <w:szCs w:val="28"/>
        </w:rPr>
        <w:t xml:space="preserve"> здійснюється</w:t>
      </w:r>
      <w:r w:rsidR="008F76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6C2">
        <w:rPr>
          <w:rFonts w:ascii="Times New Roman" w:hAnsi="Times New Roman"/>
          <w:sz w:val="28"/>
          <w:szCs w:val="28"/>
        </w:rPr>
        <w:t>за очною (денною) формою навчання</w:t>
      </w:r>
      <w:r w:rsidR="008F76C2">
        <w:rPr>
          <w:rFonts w:ascii="Times New Roman" w:hAnsi="Times New Roman"/>
          <w:sz w:val="28"/>
          <w:szCs w:val="28"/>
          <w:lang w:val="ru-RU"/>
        </w:rPr>
        <w:t>.</w:t>
      </w:r>
    </w:p>
    <w:p w:rsidR="004F1985" w:rsidRDefault="00C27F31" w:rsidP="00E36138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95172F">
        <w:rPr>
          <w:rFonts w:ascii="Times New Roman" w:hAnsi="Times New Roman"/>
          <w:sz w:val="28"/>
          <w:szCs w:val="28"/>
        </w:rPr>
        <w:t>Підготовка здобувачів може здійснюватися поза творчою аспірантурою (для осіб, які провадять науково-педагогічну діяльність за основним місцем роботи у відповідному закладі вищої о</w:t>
      </w:r>
      <w:r w:rsidR="00E36138">
        <w:rPr>
          <w:rFonts w:ascii="Times New Roman" w:hAnsi="Times New Roman"/>
          <w:sz w:val="28"/>
          <w:szCs w:val="28"/>
        </w:rPr>
        <w:t>світи мистецького спрямування).</w:t>
      </w:r>
    </w:p>
    <w:p w:rsidR="00D94E7E" w:rsidRPr="001A102B" w:rsidRDefault="00D94E7E" w:rsidP="00D94E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94E7E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1.4. 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Нормативний строк підготовки доктора мистецтва у творчій аспірантурі становить три роки.</w:t>
      </w:r>
      <w:bookmarkStart w:id="2" w:name="n21"/>
      <w:bookmarkEnd w:id="2"/>
    </w:p>
    <w:p w:rsidR="00D94E7E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Першим етапом здобуття ступеня докт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ора мистецтва за спеціальністю „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Музичне мистецтво” є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асистентура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-стажування.</w:t>
      </w:r>
      <w:bookmarkStart w:id="3" w:name="n22"/>
      <w:bookmarkEnd w:id="3"/>
    </w:p>
    <w:p w:rsidR="00D94E7E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здобувачів в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виключно за очною (денною) формою навчання. Нормативний строк підготовки здобувачів в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-стажуванні становить один рік</w:t>
      </w:r>
      <w:bookmarkStart w:id="4" w:name="n2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4E7E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здобувачів, які успішно завершили навчання в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-стажуванні та отримали відповідний сертифікат, строк підготовки в творчій аспірантурі становить два роки.</w:t>
      </w:r>
      <w:bookmarkStart w:id="5" w:name="n24"/>
      <w:bookmarkEnd w:id="5"/>
    </w:p>
    <w:p w:rsidR="00D94E7E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здобувачів, які навчаються поза творчою аспірантурою, строк підготовки для здобуття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-творчого ступеня доктора мистецтва не може перевищувати п’яти років.</w:t>
      </w:r>
      <w:bookmarkStart w:id="6" w:name="n25"/>
      <w:bookmarkEnd w:id="6"/>
    </w:p>
    <w:p w:rsidR="00D94E7E" w:rsidRPr="001A102B" w:rsidRDefault="00D94E7E" w:rsidP="00D94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36138" w:rsidRDefault="00D94E7E" w:rsidP="00E36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1.5. 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Здобуття 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-творчого ступеня доктора мистецтва на третьому (</w:t>
      </w:r>
      <w:proofErr w:type="spellStart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-творчому) рівні вищої освіти здійснюється</w:t>
      </w:r>
      <w:bookmarkStart w:id="7" w:name="n27"/>
      <w:bookmarkEnd w:id="7"/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94E7E" w:rsidRDefault="00D94E7E" w:rsidP="00E36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коштів </w:t>
      </w:r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</w:t>
      </w:r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жету</w:t>
      </w:r>
      <w:bookmarkStart w:id="8" w:name="n28"/>
      <w:bookmarkStart w:id="9" w:name="n29"/>
      <w:bookmarkEnd w:id="8"/>
      <w:bookmarkEnd w:id="9"/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36138" w:rsidRPr="00E36138" w:rsidRDefault="00E36138" w:rsidP="00E36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6138">
        <w:rPr>
          <w:rFonts w:ascii="Times New Roman" w:hAnsi="Times New Roman"/>
          <w:sz w:val="28"/>
          <w:szCs w:val="28"/>
          <w:lang w:val="uk-UA"/>
        </w:rPr>
        <w:t>за рахунок коштів юридичних або фізичних осіб (на умовах контракту, зокрема за кошти грантів, які отримав заклад вищої освіти мистецького спрямування на реалізацію культурно-мистецьких проектів, за якими передбачається підготовка здобувачів вищої освіти ступеня доктора мистецтва).</w:t>
      </w:r>
    </w:p>
    <w:p w:rsidR="00D94E7E" w:rsidRPr="001A102B" w:rsidRDefault="00D94E7E" w:rsidP="00D94E7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E18AD" w:rsidRDefault="00D94E7E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1.6. 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</w:t>
      </w:r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за регіональним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замовленням здійсню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виключно за очною (денною</w:t>
      </w:r>
      <w:r w:rsidR="00E361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вечірньою</w:t>
      </w:r>
      <w:r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формою навчання.</w:t>
      </w:r>
      <w:bookmarkStart w:id="10" w:name="n30"/>
      <w:bookmarkStart w:id="11" w:name="n33"/>
      <w:bookmarkStart w:id="12" w:name="n34"/>
      <w:bookmarkEnd w:id="10"/>
      <w:bookmarkEnd w:id="11"/>
      <w:bookmarkEnd w:id="12"/>
    </w:p>
    <w:p w:rsidR="00E36138" w:rsidRPr="00E36138" w:rsidRDefault="00E36138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E36138" w:rsidRPr="00E36138" w:rsidRDefault="00E36138" w:rsidP="00E3613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1.7. </w:t>
      </w:r>
      <w:r w:rsidRPr="0095172F">
        <w:rPr>
          <w:rFonts w:ascii="Times New Roman" w:hAnsi="Times New Roman"/>
          <w:sz w:val="28"/>
          <w:szCs w:val="28"/>
        </w:rPr>
        <w:t xml:space="preserve">Кількість здобувачів, підготовка яких здійснюється поза </w:t>
      </w:r>
      <w:r>
        <w:rPr>
          <w:rFonts w:ascii="Times New Roman" w:hAnsi="Times New Roman"/>
          <w:sz w:val="28"/>
          <w:szCs w:val="28"/>
        </w:rPr>
        <w:t>регіональним</w:t>
      </w:r>
      <w:r w:rsidRPr="0095172F">
        <w:rPr>
          <w:rFonts w:ascii="Times New Roman" w:hAnsi="Times New Roman"/>
          <w:sz w:val="28"/>
          <w:szCs w:val="28"/>
        </w:rPr>
        <w:t xml:space="preserve"> замовленням, та вартість такої підготовки визначаються вченою радою </w:t>
      </w:r>
      <w:r>
        <w:rPr>
          <w:rFonts w:ascii="Times New Roman" w:hAnsi="Times New Roman"/>
          <w:sz w:val="28"/>
          <w:szCs w:val="28"/>
        </w:rPr>
        <w:t>ДАМ ім. </w:t>
      </w:r>
      <w:proofErr w:type="spellStart"/>
      <w:r>
        <w:rPr>
          <w:rFonts w:ascii="Times New Roman" w:hAnsi="Times New Roman"/>
          <w:sz w:val="28"/>
          <w:szCs w:val="28"/>
        </w:rPr>
        <w:t>М.Глінки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(далі — В</w:t>
      </w:r>
      <w:r w:rsidRPr="0095172F">
        <w:rPr>
          <w:rFonts w:ascii="Times New Roman" w:hAnsi="Times New Roman"/>
          <w:sz w:val="28"/>
          <w:szCs w:val="28"/>
        </w:rPr>
        <w:t xml:space="preserve">чена рада) у межах ліцензованого обсягу з урахуванням </w:t>
      </w:r>
      <w:r w:rsidRPr="0095172F">
        <w:rPr>
          <w:rFonts w:ascii="Times New Roman" w:hAnsi="Times New Roman"/>
          <w:sz w:val="28"/>
          <w:szCs w:val="28"/>
        </w:rPr>
        <w:lastRenderedPageBreak/>
        <w:t>можливостей забезпечення кваліфікованого творчого керівництва та/або наукового консультування та надання якісних освітніх послуг.</w:t>
      </w:r>
    </w:p>
    <w:p w:rsidR="000E18AD" w:rsidRPr="001A102B" w:rsidRDefault="000E18AD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E18AD" w:rsidRDefault="00E36138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1.8</w:t>
      </w:r>
      <w:r w:rsidR="000E1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Відрахування, переривання навчання, поновлення і переведення здобувачів здійснюється згідно з положенням, затвердженим МОН.</w:t>
      </w:r>
      <w:bookmarkStart w:id="13" w:name="n35"/>
      <w:bookmarkEnd w:id="13"/>
    </w:p>
    <w:p w:rsidR="000E18AD" w:rsidRPr="001A102B" w:rsidRDefault="000E18AD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94E7E" w:rsidRPr="000E18AD" w:rsidRDefault="00E36138" w:rsidP="000E18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1.9</w:t>
      </w:r>
      <w:r w:rsidR="000E18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Здобувачі, які не завершили навчання у творчій аспірантурі чи </w:t>
      </w:r>
      <w:proofErr w:type="spellStart"/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-стажуванні за кошти державного бюджету або були відраховані з творчої аспірантури чи </w:t>
      </w:r>
      <w:proofErr w:type="spellStart"/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D94E7E" w:rsidRPr="00D94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достроково, мають право повторно безоплатно здобувати вищу освіту за державним замовленням за умови відшкодування коштів, витрачених на оплату послуг з їх підготовки.</w:t>
      </w:r>
      <w:bookmarkStart w:id="14" w:name="n36"/>
      <w:bookmarkEnd w:id="14"/>
    </w:p>
    <w:p w:rsidR="00D94E7E" w:rsidRPr="008362BE" w:rsidRDefault="00D94E7E" w:rsidP="004F0BD9">
      <w:pPr>
        <w:shd w:val="clear" w:color="auto" w:fill="FFFFFF"/>
        <w:spacing w:after="0" w:line="240" w:lineRule="auto"/>
        <w:ind w:right="450" w:firstLine="45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A102B" w:rsidRDefault="000E18AD" w:rsidP="008F76C2">
      <w:pPr>
        <w:shd w:val="clear" w:color="auto" w:fill="FFFFFF"/>
        <w:spacing w:after="0" w:line="240" w:lineRule="auto"/>
        <w:ind w:right="-1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3613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F0BD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757B9" w:rsidRPr="004F0BD9">
        <w:rPr>
          <w:rFonts w:ascii="Times New Roman" w:hAnsi="Times New Roman" w:cs="Times New Roman"/>
          <w:sz w:val="28"/>
          <w:szCs w:val="28"/>
          <w:lang w:val="uk-UA"/>
        </w:rPr>
        <w:t>Науково-методичне забезпечення та орга</w:t>
      </w:r>
      <w:r w:rsidR="004F0BD9">
        <w:rPr>
          <w:rFonts w:ascii="Times New Roman" w:hAnsi="Times New Roman" w:cs="Times New Roman"/>
          <w:sz w:val="28"/>
          <w:szCs w:val="28"/>
          <w:lang w:val="uk-UA"/>
        </w:rPr>
        <w:t xml:space="preserve">нізацію діяльності </w:t>
      </w:r>
      <w:r w:rsidR="008E1841">
        <w:rPr>
          <w:rFonts w:ascii="Times New Roman" w:hAnsi="Times New Roman" w:cs="Times New Roman"/>
          <w:sz w:val="28"/>
          <w:szCs w:val="28"/>
          <w:lang w:val="uk-UA"/>
        </w:rPr>
        <w:t>аспірантури здійснює Вчена рада.</w:t>
      </w:r>
    </w:p>
    <w:p w:rsidR="003F006D" w:rsidRDefault="003F006D" w:rsidP="008F76C2">
      <w:p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06D" w:rsidRPr="008F76C2" w:rsidRDefault="00D71250" w:rsidP="008F76C2">
      <w:pPr>
        <w:pStyle w:val="rvps7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8362BE">
        <w:rPr>
          <w:b/>
          <w:sz w:val="36"/>
          <w:szCs w:val="36"/>
          <w:lang w:val="uk-UA"/>
        </w:rPr>
        <w:t>ІІ. </w:t>
      </w:r>
      <w:r w:rsidR="00AD4890" w:rsidRPr="00AD4890">
        <w:rPr>
          <w:b/>
          <w:sz w:val="32"/>
          <w:szCs w:val="32"/>
          <w:lang w:val="uk-UA"/>
        </w:rPr>
        <w:t>ПРАВА ТА ОБОВ’ЯЗКИ АСПІРАНТІВ</w:t>
      </w:r>
    </w:p>
    <w:p w:rsidR="00AD4890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2.1. </w:t>
      </w: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користуються всіма правами та зобов’язані виконувати всі обов’язки здобувачів вищої освіти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 </w:t>
      </w:r>
      <w:r w:rsidR="000A62C1">
        <w:fldChar w:fldCharType="begin"/>
      </w:r>
      <w:r w:rsidR="000A62C1" w:rsidRPr="000A62C1">
        <w:rPr>
          <w:lang w:val="uk-UA"/>
        </w:rPr>
        <w:instrText xml:space="preserve"> </w:instrText>
      </w:r>
      <w:r w:rsidR="000A62C1">
        <w:instrText>HYPERLINK</w:instrText>
      </w:r>
      <w:r w:rsidR="000A62C1" w:rsidRPr="000A62C1">
        <w:rPr>
          <w:lang w:val="uk-UA"/>
        </w:rPr>
        <w:instrText xml:space="preserve"> "</w:instrText>
      </w:r>
      <w:r w:rsidR="000A62C1">
        <w:instrText>https</w:instrText>
      </w:r>
      <w:r w:rsidR="000A62C1" w:rsidRPr="000A62C1">
        <w:rPr>
          <w:lang w:val="uk-UA"/>
        </w:rPr>
        <w:instrText>://</w:instrText>
      </w:r>
      <w:r w:rsidR="000A62C1">
        <w:instrText>zakon</w:instrText>
      </w:r>
      <w:r w:rsidR="000A62C1" w:rsidRPr="000A62C1">
        <w:rPr>
          <w:lang w:val="uk-UA"/>
        </w:rPr>
        <w:instrText>.</w:instrText>
      </w:r>
      <w:r w:rsidR="000A62C1">
        <w:instrText>rada</w:instrText>
      </w:r>
      <w:r w:rsidR="000A62C1" w:rsidRPr="000A62C1">
        <w:rPr>
          <w:lang w:val="uk-UA"/>
        </w:rPr>
        <w:instrText>.</w:instrText>
      </w:r>
      <w:r w:rsidR="000A62C1">
        <w:instrText>gov</w:instrText>
      </w:r>
      <w:r w:rsidR="000A62C1" w:rsidRPr="000A62C1">
        <w:rPr>
          <w:lang w:val="uk-UA"/>
        </w:rPr>
        <w:instrText>.</w:instrText>
      </w:r>
      <w:r w:rsidR="000A62C1">
        <w:instrText>ua</w:instrText>
      </w:r>
      <w:r w:rsidR="000A62C1" w:rsidRPr="000A62C1">
        <w:rPr>
          <w:lang w:val="uk-UA"/>
        </w:rPr>
        <w:instrText>/</w:instrText>
      </w:r>
      <w:r w:rsidR="000A62C1">
        <w:instrText>laws</w:instrText>
      </w:r>
      <w:r w:rsidR="000A62C1" w:rsidRPr="000A62C1">
        <w:rPr>
          <w:lang w:val="uk-UA"/>
        </w:rPr>
        <w:instrText>/</w:instrText>
      </w:r>
      <w:r w:rsidR="000A62C1">
        <w:instrText>show</w:instrText>
      </w:r>
      <w:r w:rsidR="000A62C1" w:rsidRPr="000A62C1">
        <w:rPr>
          <w:lang w:val="uk-UA"/>
        </w:rPr>
        <w:instrText>/2145-19" \</w:instrText>
      </w:r>
      <w:r w:rsidR="000A62C1">
        <w:instrText>t</w:instrText>
      </w:r>
      <w:r w:rsidR="000A62C1" w:rsidRPr="000A62C1">
        <w:rPr>
          <w:lang w:val="uk-UA"/>
        </w:rPr>
        <w:instrText xml:space="preserve"> "_</w:instrText>
      </w:r>
      <w:r w:rsidR="000A62C1">
        <w:instrText>blank</w:instrText>
      </w:r>
      <w:r w:rsidR="000A62C1" w:rsidRPr="000A62C1">
        <w:rPr>
          <w:lang w:val="uk-UA"/>
        </w:rPr>
        <w:instrText xml:space="preserve">" </w:instrText>
      </w:r>
      <w:r w:rsidR="000A62C1">
        <w:fldChar w:fldCharType="separate"/>
      </w:r>
      <w:r w:rsidRPr="004E5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освіту”</w:t>
      </w:r>
      <w:r w:rsidR="000A6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0A62C1">
        <w:fldChar w:fldCharType="begin"/>
      </w:r>
      <w:r w:rsidR="000A62C1" w:rsidRPr="000A62C1">
        <w:rPr>
          <w:lang w:val="uk-UA"/>
        </w:rPr>
        <w:instrText xml:space="preserve"> </w:instrText>
      </w:r>
      <w:r w:rsidR="000A62C1">
        <w:instrText>HYPERLINK</w:instrText>
      </w:r>
      <w:r w:rsidR="000A62C1" w:rsidRPr="000A62C1">
        <w:rPr>
          <w:lang w:val="uk-UA"/>
        </w:rPr>
        <w:instrText xml:space="preserve"> "</w:instrText>
      </w:r>
      <w:r w:rsidR="000A62C1">
        <w:instrText>https</w:instrText>
      </w:r>
      <w:r w:rsidR="000A62C1" w:rsidRPr="000A62C1">
        <w:rPr>
          <w:lang w:val="uk-UA"/>
        </w:rPr>
        <w:instrText>://</w:instrText>
      </w:r>
      <w:r w:rsidR="000A62C1">
        <w:instrText>zakon</w:instrText>
      </w:r>
      <w:r w:rsidR="000A62C1" w:rsidRPr="000A62C1">
        <w:rPr>
          <w:lang w:val="uk-UA"/>
        </w:rPr>
        <w:instrText>.</w:instrText>
      </w:r>
      <w:r w:rsidR="000A62C1">
        <w:instrText>rada</w:instrText>
      </w:r>
      <w:r w:rsidR="000A62C1" w:rsidRPr="000A62C1">
        <w:rPr>
          <w:lang w:val="uk-UA"/>
        </w:rPr>
        <w:instrText>.</w:instrText>
      </w:r>
      <w:r w:rsidR="000A62C1">
        <w:instrText>gov</w:instrText>
      </w:r>
      <w:r w:rsidR="000A62C1" w:rsidRPr="000A62C1">
        <w:rPr>
          <w:lang w:val="uk-UA"/>
        </w:rPr>
        <w:instrText>.</w:instrText>
      </w:r>
      <w:r w:rsidR="000A62C1">
        <w:instrText>ua</w:instrText>
      </w:r>
      <w:r w:rsidR="000A62C1" w:rsidRPr="000A62C1">
        <w:rPr>
          <w:lang w:val="uk-UA"/>
        </w:rPr>
        <w:instrText>/</w:instrText>
      </w:r>
      <w:r w:rsidR="000A62C1">
        <w:instrText>laws</w:instrText>
      </w:r>
      <w:r w:rsidR="000A62C1" w:rsidRPr="000A62C1">
        <w:rPr>
          <w:lang w:val="uk-UA"/>
        </w:rPr>
        <w:instrText>/</w:instrText>
      </w:r>
      <w:r w:rsidR="000A62C1">
        <w:instrText>show</w:instrText>
      </w:r>
      <w:r w:rsidR="000A62C1" w:rsidRPr="000A62C1">
        <w:rPr>
          <w:lang w:val="uk-UA"/>
        </w:rPr>
        <w:instrText>/1556-18" \</w:instrText>
      </w:r>
      <w:r w:rsidR="000A62C1">
        <w:instrText>t</w:instrText>
      </w:r>
      <w:r w:rsidR="000A62C1" w:rsidRPr="000A62C1">
        <w:rPr>
          <w:lang w:val="uk-UA"/>
        </w:rPr>
        <w:instrText xml:space="preserve"> "_</w:instrText>
      </w:r>
      <w:r w:rsidR="000A62C1">
        <w:instrText>blank</w:instrText>
      </w:r>
      <w:r w:rsidR="000A62C1" w:rsidRPr="000A62C1">
        <w:rPr>
          <w:lang w:val="uk-UA"/>
        </w:rPr>
        <w:instrText xml:space="preserve">" </w:instrText>
      </w:r>
      <w:r w:rsidR="000A62C1"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</w:t>
      </w:r>
      <w:r w:rsidRPr="004E5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вищу освіту”</w:t>
      </w:r>
      <w:r w:rsidR="000A6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4E5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15" w:name="n37"/>
      <w:bookmarkStart w:id="16" w:name="n38"/>
      <w:bookmarkEnd w:id="15"/>
      <w:bookmarkEnd w:id="16"/>
    </w:p>
    <w:p w:rsidR="00AD4890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Здобувачі, які навчаються поза творчою аспірантурою відповідного закладу вищої освіти мистецького спрямування, мають право на безперервну трудову діяльність. У разі звільнення із закладу вищої освіти мистецького спрямування здобувач втрачає право навчатися поза творчою аспірантурою у цьому закладі та може:</w:t>
      </w:r>
      <w:bookmarkStart w:id="17" w:name="n39"/>
      <w:bookmarkEnd w:id="17"/>
    </w:p>
    <w:p w:rsidR="00AD4890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продовжити навчання поза творчою аспірантурою у закладі вищої освіти мистецького спрямування, до якого особа зарахована на посаду науково-педагогічного працівника (за умови прийняття відповідного рішення таким закладом вищої освіти);</w:t>
      </w:r>
      <w:bookmarkStart w:id="18" w:name="n40"/>
      <w:bookmarkEnd w:id="18"/>
    </w:p>
    <w:p w:rsidR="004E513F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вступити до творчої аспірантури закладу вищої освіти мистецького спрямування на загальних умовах.</w:t>
      </w:r>
    </w:p>
    <w:p w:rsidR="004E513F" w:rsidRPr="001A102B" w:rsidRDefault="004E513F" w:rsidP="004E513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13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71250" w:rsidRPr="004E513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належного виконання </w:t>
      </w:r>
      <w:proofErr w:type="spellStart"/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-творчої програми та провадження творчої мистецької діяльності здобувачі мають право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E513F" w:rsidRPr="004E513F" w:rsidRDefault="004E513F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1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матеріально-технічною базою для підготовки та реалізації творчого мистець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кого проекту або творчого звіту;</w:t>
      </w:r>
    </w:p>
    <w:p w:rsidR="00D71250" w:rsidRDefault="00D71250" w:rsidP="004E513F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>вільний доступ до всіх видів відкритої наукової інформації, наявної у вищих навчальних закладах (наукових установах), бібліотек</w:t>
      </w:r>
      <w:r>
        <w:rPr>
          <w:sz w:val="28"/>
          <w:szCs w:val="28"/>
          <w:lang w:val="uk-UA"/>
        </w:rPr>
        <w:t>ах і державних архівах України;</w:t>
      </w:r>
    </w:p>
    <w:p w:rsidR="00D71250" w:rsidRDefault="00D71250" w:rsidP="00D7125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 xml:space="preserve">безпечні та нешкідливі умови </w:t>
      </w:r>
      <w:r w:rsidR="004E513F">
        <w:rPr>
          <w:color w:val="000000"/>
          <w:sz w:val="28"/>
          <w:szCs w:val="28"/>
          <w:lang w:val="uk-UA"/>
        </w:rPr>
        <w:t>для підготовки та реалізації творчого мистецького проекту або творчого звіту</w:t>
      </w:r>
      <w:r>
        <w:rPr>
          <w:sz w:val="28"/>
          <w:szCs w:val="28"/>
          <w:lang w:val="uk-UA"/>
        </w:rPr>
        <w:t>;</w:t>
      </w:r>
    </w:p>
    <w:p w:rsidR="00D71250" w:rsidRDefault="00D71250" w:rsidP="00D7125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>академічну мобільність, що реалізується відповідно до Положення про порядок реалізації права на академічну мобільність, затвердженого постановою Кабінету Міністрів України від 12 серпня 2015 р. № 579 (Офіційний вісник України, 20</w:t>
      </w:r>
      <w:r>
        <w:rPr>
          <w:sz w:val="28"/>
          <w:szCs w:val="28"/>
          <w:lang w:val="uk-UA"/>
        </w:rPr>
        <w:t>15 р., № 66, ст. 2183);</w:t>
      </w:r>
    </w:p>
    <w:p w:rsidR="00D71250" w:rsidRDefault="00D71250" w:rsidP="00D7125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>академічну відпустку, зокрема за станом здоров’я, у зв’язку з вагітністю та пологами, для догляду за дитиною до досягнення нею трирічного вік</w:t>
      </w:r>
      <w:r>
        <w:rPr>
          <w:sz w:val="28"/>
          <w:szCs w:val="28"/>
          <w:lang w:val="uk-UA"/>
        </w:rPr>
        <w:t>у, відповідно до законодавства.</w:t>
      </w:r>
    </w:p>
    <w:p w:rsidR="008362BE" w:rsidRPr="008362BE" w:rsidRDefault="008362BE" w:rsidP="00D71250">
      <w:pPr>
        <w:pStyle w:val="rvps7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D71250" w:rsidRDefault="00AD4890" w:rsidP="00D7125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="00D71250">
        <w:rPr>
          <w:sz w:val="28"/>
          <w:szCs w:val="28"/>
          <w:lang w:val="uk-UA"/>
        </w:rPr>
        <w:t>. </w:t>
      </w:r>
      <w:r w:rsidR="00D71250" w:rsidRPr="00D71250">
        <w:rPr>
          <w:sz w:val="28"/>
          <w:szCs w:val="28"/>
          <w:lang w:val="uk-UA"/>
        </w:rPr>
        <w:t>Аспіранти зобов’язані виконувати всі обов’язки здобувачів вищої осв</w:t>
      </w:r>
      <w:r w:rsidR="00D71250">
        <w:rPr>
          <w:sz w:val="28"/>
          <w:szCs w:val="28"/>
          <w:lang w:val="uk-UA"/>
        </w:rPr>
        <w:t>іти, визначені Законом України „Про вищу освіту”.</w:t>
      </w:r>
      <w:r w:rsidR="00D71250" w:rsidRPr="00D71250">
        <w:rPr>
          <w:sz w:val="28"/>
          <w:szCs w:val="28"/>
          <w:lang w:val="uk-UA"/>
        </w:rPr>
        <w:t xml:space="preserve"> З метою забезпечення належного проведення </w:t>
      </w:r>
      <w:r>
        <w:rPr>
          <w:sz w:val="28"/>
          <w:szCs w:val="28"/>
          <w:lang w:val="uk-UA"/>
        </w:rPr>
        <w:t>творчих</w:t>
      </w:r>
      <w:r w:rsidR="00D71250" w:rsidRPr="00D71250">
        <w:rPr>
          <w:sz w:val="28"/>
          <w:szCs w:val="28"/>
          <w:lang w:val="uk-UA"/>
        </w:rPr>
        <w:t xml:space="preserve"> дослідже</w:t>
      </w:r>
      <w:r w:rsidR="00D71250">
        <w:rPr>
          <w:sz w:val="28"/>
          <w:szCs w:val="28"/>
          <w:lang w:val="uk-UA"/>
        </w:rPr>
        <w:t>нь аспіранти також зобов’язані:</w:t>
      </w:r>
    </w:p>
    <w:p w:rsidR="00D71250" w:rsidRDefault="00D71250" w:rsidP="00D7125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>дотримуватися морально-етич</w:t>
      </w:r>
      <w:r>
        <w:rPr>
          <w:sz w:val="28"/>
          <w:szCs w:val="28"/>
          <w:lang w:val="uk-UA"/>
        </w:rPr>
        <w:t>них норм і стандартів поведінки</w:t>
      </w:r>
      <w:r w:rsidR="00AD4890">
        <w:rPr>
          <w:sz w:val="28"/>
          <w:szCs w:val="28"/>
          <w:lang w:val="uk-UA"/>
        </w:rPr>
        <w:t>;</w:t>
      </w:r>
    </w:p>
    <w:p w:rsidR="00D71250" w:rsidRDefault="00D71250" w:rsidP="00AD4890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71250">
        <w:rPr>
          <w:sz w:val="28"/>
          <w:szCs w:val="28"/>
          <w:lang w:val="uk-UA"/>
        </w:rPr>
        <w:t xml:space="preserve">виконувати індивідуальний план </w:t>
      </w:r>
      <w:r w:rsidR="00AD4890">
        <w:rPr>
          <w:sz w:val="28"/>
          <w:szCs w:val="28"/>
          <w:lang w:val="uk-UA"/>
        </w:rPr>
        <w:t>дослідницької та творчо-</w:t>
      </w:r>
      <w:proofErr w:type="spellStart"/>
      <w:r w:rsidR="00AD4890">
        <w:rPr>
          <w:sz w:val="28"/>
          <w:szCs w:val="28"/>
          <w:lang w:val="uk-UA"/>
        </w:rPr>
        <w:t>митсецької</w:t>
      </w:r>
      <w:proofErr w:type="spellEnd"/>
      <w:r w:rsidR="00AD4890">
        <w:rPr>
          <w:sz w:val="28"/>
          <w:szCs w:val="28"/>
          <w:lang w:val="uk-UA"/>
        </w:rPr>
        <w:t xml:space="preserve"> </w:t>
      </w:r>
      <w:r w:rsidRPr="00D71250">
        <w:rPr>
          <w:sz w:val="28"/>
          <w:szCs w:val="28"/>
          <w:lang w:val="uk-UA"/>
        </w:rPr>
        <w:t>роботи та систематично звітувати про хід його виконання на засіданні кафедри</w:t>
      </w:r>
      <w:r w:rsidR="00AD4890">
        <w:rPr>
          <w:sz w:val="28"/>
          <w:szCs w:val="28"/>
          <w:lang w:val="uk-UA"/>
        </w:rPr>
        <w:t>.</w:t>
      </w:r>
    </w:p>
    <w:p w:rsidR="001A102B" w:rsidRPr="003F006D" w:rsidRDefault="001A102B" w:rsidP="00AD4890">
      <w:pPr>
        <w:pStyle w:val="rvps7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0B0788" w:rsidRDefault="00D71250" w:rsidP="000B0788">
      <w:pPr>
        <w:pStyle w:val="rvps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2.4.</w:t>
      </w:r>
      <w:r>
        <w:rPr>
          <w:sz w:val="28"/>
          <w:szCs w:val="28"/>
          <w:lang w:val="uk-UA"/>
        </w:rPr>
        <w:t> </w:t>
      </w:r>
      <w:proofErr w:type="spellStart"/>
      <w:r w:rsidRPr="00C65B5F">
        <w:rPr>
          <w:sz w:val="28"/>
          <w:szCs w:val="28"/>
        </w:rPr>
        <w:t>Аспіранти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мають</w:t>
      </w:r>
      <w:proofErr w:type="spellEnd"/>
      <w:r w:rsidRPr="00C65B5F">
        <w:rPr>
          <w:sz w:val="28"/>
          <w:szCs w:val="28"/>
        </w:rPr>
        <w:t xml:space="preserve"> право </w:t>
      </w:r>
      <w:proofErr w:type="spellStart"/>
      <w:r w:rsidRPr="00C65B5F">
        <w:rPr>
          <w:sz w:val="28"/>
          <w:szCs w:val="28"/>
        </w:rPr>
        <w:t>брати</w:t>
      </w:r>
      <w:proofErr w:type="spellEnd"/>
      <w:r w:rsidRPr="00C65B5F">
        <w:rPr>
          <w:sz w:val="28"/>
          <w:szCs w:val="28"/>
        </w:rPr>
        <w:t xml:space="preserve"> участь у конкурсах на </w:t>
      </w:r>
      <w:proofErr w:type="spellStart"/>
      <w:r w:rsidRPr="00C65B5F">
        <w:rPr>
          <w:sz w:val="28"/>
          <w:szCs w:val="28"/>
        </w:rPr>
        <w:t>отримання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грантової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proofErr w:type="gramStart"/>
      <w:r w:rsidRPr="00C65B5F">
        <w:rPr>
          <w:sz w:val="28"/>
          <w:szCs w:val="28"/>
        </w:rPr>
        <w:t>п</w:t>
      </w:r>
      <w:proofErr w:type="gramEnd"/>
      <w:r w:rsidRPr="00C65B5F">
        <w:rPr>
          <w:sz w:val="28"/>
          <w:szCs w:val="28"/>
        </w:rPr>
        <w:t>ідтримки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наукових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досліджень</w:t>
      </w:r>
      <w:proofErr w:type="spellEnd"/>
      <w:r w:rsidRPr="00C65B5F">
        <w:rPr>
          <w:sz w:val="28"/>
          <w:szCs w:val="28"/>
        </w:rPr>
        <w:t xml:space="preserve"> та </w:t>
      </w:r>
      <w:proofErr w:type="spellStart"/>
      <w:r w:rsidRPr="00C65B5F">
        <w:rPr>
          <w:sz w:val="28"/>
          <w:szCs w:val="28"/>
        </w:rPr>
        <w:t>стипендій</w:t>
      </w:r>
      <w:proofErr w:type="spellEnd"/>
      <w:r w:rsidRPr="00C65B5F">
        <w:rPr>
          <w:sz w:val="28"/>
          <w:szCs w:val="28"/>
        </w:rPr>
        <w:t xml:space="preserve">, </w:t>
      </w:r>
      <w:proofErr w:type="spellStart"/>
      <w:r w:rsidRPr="00C65B5F">
        <w:rPr>
          <w:sz w:val="28"/>
          <w:szCs w:val="28"/>
        </w:rPr>
        <w:t>заснованих</w:t>
      </w:r>
      <w:proofErr w:type="spellEnd"/>
      <w:r w:rsidRPr="00C65B5F">
        <w:rPr>
          <w:sz w:val="28"/>
          <w:szCs w:val="28"/>
        </w:rPr>
        <w:t xml:space="preserve"> на честь </w:t>
      </w:r>
      <w:proofErr w:type="spellStart"/>
      <w:r w:rsidRPr="00C65B5F">
        <w:rPr>
          <w:sz w:val="28"/>
          <w:szCs w:val="28"/>
        </w:rPr>
        <w:t>видатних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діячів</w:t>
      </w:r>
      <w:proofErr w:type="spellEnd"/>
      <w:r w:rsidRPr="00C65B5F">
        <w:rPr>
          <w:sz w:val="28"/>
          <w:szCs w:val="28"/>
        </w:rPr>
        <w:t xml:space="preserve"> науки, </w:t>
      </w:r>
      <w:proofErr w:type="spellStart"/>
      <w:r w:rsidRPr="00C65B5F">
        <w:rPr>
          <w:sz w:val="28"/>
          <w:szCs w:val="28"/>
        </w:rPr>
        <w:t>освіти</w:t>
      </w:r>
      <w:proofErr w:type="spellEnd"/>
      <w:r w:rsidRPr="00C65B5F">
        <w:rPr>
          <w:sz w:val="28"/>
          <w:szCs w:val="28"/>
        </w:rPr>
        <w:t xml:space="preserve">, </w:t>
      </w:r>
      <w:proofErr w:type="spellStart"/>
      <w:r w:rsidRPr="00C65B5F">
        <w:rPr>
          <w:sz w:val="28"/>
          <w:szCs w:val="28"/>
        </w:rPr>
        <w:t>культури</w:t>
      </w:r>
      <w:proofErr w:type="spellEnd"/>
      <w:r w:rsidRPr="00C65B5F">
        <w:rPr>
          <w:sz w:val="28"/>
          <w:szCs w:val="28"/>
        </w:rPr>
        <w:t xml:space="preserve">, </w:t>
      </w:r>
      <w:proofErr w:type="spellStart"/>
      <w:r w:rsidRPr="00C65B5F">
        <w:rPr>
          <w:sz w:val="28"/>
          <w:szCs w:val="28"/>
        </w:rPr>
        <w:t>громадських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діячів</w:t>
      </w:r>
      <w:proofErr w:type="spellEnd"/>
      <w:r w:rsidRPr="00C65B5F">
        <w:rPr>
          <w:sz w:val="28"/>
          <w:szCs w:val="28"/>
        </w:rPr>
        <w:t xml:space="preserve">, а </w:t>
      </w:r>
      <w:proofErr w:type="spellStart"/>
      <w:r w:rsidRPr="00C65B5F">
        <w:rPr>
          <w:sz w:val="28"/>
          <w:szCs w:val="28"/>
        </w:rPr>
        <w:t>також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заснованих</w:t>
      </w:r>
      <w:proofErr w:type="spellEnd"/>
      <w:r w:rsidRPr="00C65B5F">
        <w:rPr>
          <w:sz w:val="28"/>
          <w:szCs w:val="28"/>
        </w:rPr>
        <w:t xml:space="preserve"> Президентом </w:t>
      </w:r>
      <w:proofErr w:type="spellStart"/>
      <w:r w:rsidRPr="00C65B5F">
        <w:rPr>
          <w:sz w:val="28"/>
          <w:szCs w:val="28"/>
        </w:rPr>
        <w:t>України</w:t>
      </w:r>
      <w:proofErr w:type="spellEnd"/>
      <w:r w:rsidRPr="00C65B5F">
        <w:rPr>
          <w:sz w:val="28"/>
          <w:szCs w:val="28"/>
        </w:rPr>
        <w:t xml:space="preserve">, </w:t>
      </w:r>
      <w:proofErr w:type="spellStart"/>
      <w:r w:rsidRPr="00C65B5F">
        <w:rPr>
          <w:sz w:val="28"/>
          <w:szCs w:val="28"/>
        </w:rPr>
        <w:t>Кабінетом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Міністрів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України</w:t>
      </w:r>
      <w:proofErr w:type="spellEnd"/>
      <w:r w:rsidRPr="00C65B5F">
        <w:rPr>
          <w:sz w:val="28"/>
          <w:szCs w:val="28"/>
        </w:rPr>
        <w:t xml:space="preserve">, </w:t>
      </w:r>
      <w:proofErr w:type="spellStart"/>
      <w:r w:rsidRPr="00C65B5F">
        <w:rPr>
          <w:sz w:val="28"/>
          <w:szCs w:val="28"/>
        </w:rPr>
        <w:t>державними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чи</w:t>
      </w:r>
      <w:proofErr w:type="spellEnd"/>
      <w:r w:rsidRPr="00C65B5F">
        <w:rPr>
          <w:sz w:val="28"/>
          <w:szCs w:val="28"/>
        </w:rPr>
        <w:t xml:space="preserve"> </w:t>
      </w:r>
      <w:proofErr w:type="spellStart"/>
      <w:r w:rsidRPr="00C65B5F">
        <w:rPr>
          <w:sz w:val="28"/>
          <w:szCs w:val="28"/>
        </w:rPr>
        <w:t>недержавними</w:t>
      </w:r>
      <w:proofErr w:type="spellEnd"/>
      <w:r w:rsidR="000B0788">
        <w:rPr>
          <w:sz w:val="28"/>
          <w:szCs w:val="28"/>
          <w:lang w:val="uk-UA"/>
        </w:rPr>
        <w:t xml:space="preserve"> </w:t>
      </w:r>
      <w:r w:rsidR="000B0788" w:rsidRPr="00C65B5F">
        <w:rPr>
          <w:sz w:val="28"/>
          <w:szCs w:val="28"/>
        </w:rPr>
        <w:t xml:space="preserve">органами, </w:t>
      </w:r>
      <w:proofErr w:type="spellStart"/>
      <w:r w:rsidR="000B0788" w:rsidRPr="00C65B5F">
        <w:rPr>
          <w:sz w:val="28"/>
          <w:szCs w:val="28"/>
        </w:rPr>
        <w:t>підприємствам</w:t>
      </w:r>
      <w:r w:rsidR="000B0788">
        <w:rPr>
          <w:sz w:val="28"/>
          <w:szCs w:val="28"/>
        </w:rPr>
        <w:t>и</w:t>
      </w:r>
      <w:proofErr w:type="spellEnd"/>
      <w:r w:rsidR="000B0788">
        <w:rPr>
          <w:sz w:val="28"/>
          <w:szCs w:val="28"/>
        </w:rPr>
        <w:t xml:space="preserve">, </w:t>
      </w:r>
      <w:proofErr w:type="spellStart"/>
      <w:r w:rsidR="000B0788">
        <w:rPr>
          <w:sz w:val="28"/>
          <w:szCs w:val="28"/>
        </w:rPr>
        <w:t>установами</w:t>
      </w:r>
      <w:proofErr w:type="spellEnd"/>
      <w:r w:rsidR="000B0788">
        <w:rPr>
          <w:sz w:val="28"/>
          <w:szCs w:val="28"/>
        </w:rPr>
        <w:t xml:space="preserve"> </w:t>
      </w:r>
      <w:proofErr w:type="spellStart"/>
      <w:r w:rsidR="000B0788">
        <w:rPr>
          <w:sz w:val="28"/>
          <w:szCs w:val="28"/>
        </w:rPr>
        <w:t>чи</w:t>
      </w:r>
      <w:proofErr w:type="spellEnd"/>
      <w:r w:rsidR="000B0788">
        <w:rPr>
          <w:sz w:val="28"/>
          <w:szCs w:val="28"/>
        </w:rPr>
        <w:t xml:space="preserve"> </w:t>
      </w:r>
      <w:proofErr w:type="spellStart"/>
      <w:r w:rsidR="000B0788">
        <w:rPr>
          <w:sz w:val="28"/>
          <w:szCs w:val="28"/>
        </w:rPr>
        <w:t>організаціями</w:t>
      </w:r>
      <w:proofErr w:type="spellEnd"/>
      <w:r w:rsidR="000B0788">
        <w:rPr>
          <w:sz w:val="28"/>
          <w:szCs w:val="28"/>
        </w:rPr>
        <w:t>.</w:t>
      </w:r>
    </w:p>
    <w:p w:rsidR="003F006D" w:rsidRDefault="003F006D" w:rsidP="00AD4890">
      <w:pPr>
        <w:pStyle w:val="rvps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4890" w:rsidRDefault="000B0788" w:rsidP="008362BE">
      <w:pPr>
        <w:pStyle w:val="rvps7"/>
        <w:spacing w:before="0" w:beforeAutospacing="0" w:after="0" w:afterAutospacing="0"/>
        <w:ind w:firstLine="708"/>
        <w:jc w:val="center"/>
        <w:rPr>
          <w:b/>
          <w:bCs/>
          <w:color w:val="000000"/>
          <w:sz w:val="32"/>
          <w:szCs w:val="32"/>
          <w:lang w:val="uk-UA"/>
        </w:rPr>
      </w:pPr>
      <w:r w:rsidRPr="008362BE">
        <w:rPr>
          <w:b/>
          <w:sz w:val="36"/>
          <w:szCs w:val="36"/>
          <w:lang w:val="uk-UA"/>
        </w:rPr>
        <w:t>ІІІ. </w:t>
      </w:r>
      <w:r w:rsidR="00AD4890">
        <w:rPr>
          <w:b/>
          <w:bCs/>
          <w:color w:val="000000"/>
          <w:sz w:val="32"/>
          <w:szCs w:val="32"/>
          <w:lang w:val="uk-UA"/>
        </w:rPr>
        <w:t>ВСТУП ДО ТВОРЧОЇ АСПІРАНТУРИ</w:t>
      </w:r>
    </w:p>
    <w:p w:rsidR="000B0788" w:rsidRDefault="00AD4890" w:rsidP="008362BE">
      <w:pPr>
        <w:pStyle w:val="rvps7"/>
        <w:spacing w:before="0" w:beforeAutospacing="0" w:after="0" w:afterAutospacing="0"/>
        <w:ind w:firstLine="708"/>
        <w:jc w:val="center"/>
        <w:rPr>
          <w:b/>
          <w:sz w:val="36"/>
          <w:szCs w:val="36"/>
          <w:lang w:val="uk-UA"/>
        </w:rPr>
      </w:pPr>
      <w:r w:rsidRPr="00AD4890">
        <w:rPr>
          <w:b/>
          <w:bCs/>
          <w:color w:val="000000"/>
          <w:sz w:val="32"/>
          <w:szCs w:val="32"/>
          <w:lang w:val="uk-UA"/>
        </w:rPr>
        <w:t>ТА АСИСТЕНТУРИ-СТАЖУВАННЯ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3.1. </w:t>
      </w: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Вступ до творчої аспірантури або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-стажування здійснюється на конкурсній основі за результатами вступних випробувань відповідно до 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Умов прийому на навчання до закладів вищої освіти, затверджених МОН, та Правил прийому до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Правила прийому).</w:t>
      </w:r>
      <w:bookmarkStart w:id="19" w:name="n45"/>
      <w:bookmarkEnd w:id="19"/>
    </w:p>
    <w:p w:rsidR="00AD4890" w:rsidRPr="008F76C2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творчої аспірантури або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-стажування приймаються особи, які здобули вищу освіту ступеня магістра за </w:t>
      </w:r>
      <w:r w:rsidR="008F76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спеціальністю 025 „Музичне мистецтво”.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46"/>
      <w:bookmarkEnd w:id="20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Особи, які для вступу до творчої аспірантури або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подають засвідчену в установленому порядку копію та переклад українською мовою документа про вищу освіту, здобуту в іноземних вищих навчальних закладах, допускаються до вступних випробувань нарівні з іншими особами. У разі зарахування на навчання таких осіб обов’язковою є процедура визнання і встановлення еквівалентності іноземного документа про освіту, що здійснюється відповідно до Порядку визнання здобутих в іноземних закладах вищої освіти ступенів вищої освіти та наукових ступенів, затвердженого МОН.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47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вступних випробувань допускаються особи, які вчасно подали всі необхідні для вступу документи згідно з Правилами прийому. Приймальна комісія може відмовити особі в допуску до вступних випробувань у зв’язку з неподанням в установлений строк або неправильно оформлених документів, або поданих не в повному обсязі, визначених Правилами прийому.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48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Вступні випробування до творчої аспірантури складаються із: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49"/>
      <w:bookmarkEnd w:id="23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творчого випробування із спеціальності (в обсязі програми рівня вищої освіти магістра з відповідної спеціальності);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50"/>
      <w:bookmarkEnd w:id="24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співбесіди з фахових питань та наукового реферату (в обсязі програми рівня вищої освіти магістра з відповідної спеціальності);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51"/>
      <w:bookmarkEnd w:id="2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вступного іспиту з іноземної мови (в обсязі програми рівня вищої освіти магістра за вибором вченої ради). Вступник, який підтвердив свій рівень знання, зокрема англійської мови, дійсним сертифікатом тестів TOEFL або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International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Testing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System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сертифікатом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Сambridge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Assessment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звільняється від складення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балом;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52"/>
      <w:bookmarkEnd w:id="26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вступного іспиту з філософії (в обсязі програми рівня вищої освіти магістра).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53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Вступні випробування до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складаються із: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54"/>
      <w:bookmarkEnd w:id="28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творчого випробування із спеціальності (в обсязі програми рівня вищої освіти магістра з відповідної спеціальності);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55"/>
      <w:bookmarkEnd w:id="29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співбесіди з фахових питань (в обсязі програми рівня вищої освіти магістра з відповідної спеціальності).</w:t>
      </w: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56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Особам, які подають для вступу до творчої аспірантури сертифікат про навчання в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-стажуванні, результати захисту творчого звіту можуть бути зараховані як результати творчого випробування із спеціальності.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1" w:name="n57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Вага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бала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кожного вступного випробування під час підрахування результатів конкурсу визначається у Правилах прийому.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n58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 вступних випробувань до творчої аспірантури та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дійсні для вступу до відповідного закладу вищої освіти мистецького спрямування до кінця наступного календарного року.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3" w:name="n59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3.8. 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Вступні випробування до творчої аспірантури та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-стажування проводяться предметними комісіями, до складу яких входить, як правило, три - п’ять осіб, які призначаються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4" w:name="n60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предметних комісій включаються науково-педагогічні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мають науковий ступінь та/або вчене (почесне) звання та які відповідають за виконання відповідної освітньої складової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-творчої програми.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n61"/>
      <w:bookmarkEnd w:id="3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предметних комісій можуть бути призначені також представники інших закладів вищої освіти мистецького спрямування, з якими укладено договори про провадження спільної творчої мистецької діяльності та/або про спільне виконання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-творчої програми.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600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3.10. </w:t>
      </w:r>
      <w:bookmarkStart w:id="36" w:name="n62"/>
      <w:bookmarkEnd w:id="36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Результати вступних випробувань до творчої аспірантури та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можуть бути оскаржені здобувачем у порядку, визначеному у Правилах прийому.</w:t>
      </w:r>
    </w:p>
    <w:p w:rsidR="00600974" w:rsidRDefault="00AD4890" w:rsidP="00600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7" w:name="n63"/>
      <w:bookmarkEnd w:id="37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 особою, зарахованою на навчання на третьому (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-творчому) рівні вищої освіти, та </w:t>
      </w:r>
      <w:r w:rsidR="00600974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600974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укладається договір.</w:t>
      </w:r>
      <w:bookmarkStart w:id="38" w:name="n64"/>
      <w:bookmarkEnd w:id="38"/>
    </w:p>
    <w:p w:rsidR="003F006D" w:rsidRDefault="003F006D" w:rsidP="008F7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00974" w:rsidRDefault="00600974" w:rsidP="00600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 </w:t>
      </w:r>
      <w:r w:rsidRPr="0060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ПІДГОТОВКА ЗДОБУВАЧІВ ОСВІТНЬО-ТВОРЧО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ГО СТУПЕНЯ ДОКТОРА МИСТЕЦТВА ТА</w:t>
      </w:r>
    </w:p>
    <w:p w:rsidR="00AD4890" w:rsidRPr="00600974" w:rsidRDefault="00600974" w:rsidP="006009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600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НАВЧАННЯ В АСИСТЕНТУРІ-СТАЖУВАННІ</w:t>
      </w: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9" w:name="n65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здобувачів у творчій аспірантурі (далі - аспіранти) та навчання здобувачів у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-стажуванні (далі - асистенти-стажисти) здійснюються за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-творчими програмами, що розробляються на основі стандарту вищої освіти за відповідною спеціальністю та затверджуються вченою радою.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0" w:name="n66"/>
      <w:bookmarkEnd w:id="40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Складовою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-творчої програми творчої аспірантури може бути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-творча програма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1" w:name="n67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здобувачів передбачає успішне виконання відповідної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-творчої програми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спеціальністю 025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мистецтво”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включає освітню, дослідницьку, творчу мистецьку і педагогічну складові для аспірантів та освітню і творчу мистецьку складові для асистентів-стажистів.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2" w:name="n68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складова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-творчої програми повинна містити інформацію про перелік та обсяг навчальних компонентів (30-60 кредитів Європейської кредитної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трансферно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-накопичувальної системи (далі - Європейська система) для аспірантів та 10-20 кредитів Європейської системи для асистентів-стажистів), послідовність їх вивчення, форми проведення навчальних занять та їх обсяг, графік освітнього процесу, форми поточного і підсумкового контролю.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3" w:name="n69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4.4. 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-творча програма творчої аспірантури має передбачати набуття таких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Національної рамки кваліфікацій: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4" w:name="n70"/>
      <w:bookmarkEnd w:id="44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здобуття глибинних знань із спеціальності (спеціалізації),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 термінологією (не менше ніж шість кредитів Європейської системи);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5" w:name="n71"/>
      <w:bookmarkEnd w:id="4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поглиблення практичних творчих мистецьких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зокрема оволодіння високим рівнем творчої майстерності (не менше ніж шість кредитів Європейської системи);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6" w:name="n72"/>
      <w:bookmarkEnd w:id="46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набуття науково-педагогічних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проекцію інноваційних методів та технік у творчій мистецькій діяльності на викладацьку діяльність (не менше ніж шість кредитів Європейської системи);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7" w:name="n73"/>
      <w:bookmarkEnd w:id="47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оволодіння загальнонауковими (філософськими)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компетентностями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спрямованими на формування системного наукового світогляду, професійної етики та загального культурного світогляду (не менше ніж чотири кредити Європейської системи);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8" w:name="n74"/>
      <w:bookmarkEnd w:id="48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 універсальних навичок дослідника, зокрема усної та письмової презентації результатів дослідження щодо власного творчого мистецького проекту, застосування сучасних інформаційних технологій у пошуковій діяльності, управління творчими мистецькими та/або науковими проектами (не менше ніж чотири кредити Європейської системи);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9" w:name="n75"/>
      <w:bookmarkEnd w:id="49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здобуття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мовних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достатніх для представлення та обговорення результатів свого дослідження іноземною мовою (англійською або іншою відповідно до специфіки спеціальності) в усній та письмовій формі, а також для повного розуміння іншомовних текстів з відповідної спеціальності (не менше ніж чотири кредити Європейської системи).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0" w:name="n76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4.5. 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-творча програма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-стажування має передбачати набуття таких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Національної рамки кваліфікацій: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1" w:name="n77"/>
      <w:bookmarkEnd w:id="51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здобуття поглиблених знань із спеціальності (спеціалізації), зокрема засвоєння найбільш передових концептуальних та методологічних знань в галузі професійної діяльності (не менше ніж чотири кредити Європейської системи);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2" w:name="n78"/>
      <w:bookmarkEnd w:id="52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 практичних мистецьких компетенцій, зокрема вдосконалення творчої майстерності, застосування інноваційних методів та технік у творчій мистецькій діяльності, які дають можливість переосмислити наявну та створити нову професійну практику (не менше ніж шість кредитів Європейської системи).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3" w:name="n79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4.6. 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-творча програма є основою для формування здобувачем індивідуального навчального плану, у якому визначаються зміст, строки виконання та обсяг усіх складових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-творчої програми.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4" w:name="n80"/>
      <w:bookmarkEnd w:id="54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Індивідуальний навчальний план повинен містити перелік дисциплін за вибором здобувача в обсязі, що становить не менше ніж 25 відсотків загальної кількості кредитів Європейської системи.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5" w:name="n81"/>
      <w:bookmarkEnd w:id="5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Індивідуальний навчальний план погоджується здобувачем з його творчим керівником та/або науковим консультантом, обговорюється гр</w:t>
      </w:r>
      <w:r w:rsidR="008E1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упою забезпечення спеціальності</w:t>
      </w: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 її рекомендацією затверджується вченою радою протягом двох місяців з дня зарахування здобувача до </w:t>
      </w:r>
      <w:r w:rsidR="00600974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600974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6" w:name="n82"/>
      <w:bookmarkEnd w:id="56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Індивідуальний навчальний план є обов’язковим до виконання здобувачем і використовується для оцінювання успішності запланованої роботи. Порушення строків виконання індивідуального навчального плану без поважних причин, передбачених законодавством, може бути підставою для ухвалення вченою радою рішення про відрахування здобувача.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7" w:name="n83"/>
      <w:bookmarkEnd w:id="57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до індивідуального навчального плану вносяться, погоджуються та затверджуються в установленому </w:t>
      </w:r>
      <w:r w:rsidR="00600974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600974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600974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8" w:name="n84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Засвоєння здобувачем навчальних дисциплін може відбуватися 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у рамках реалізації права на академічну мобільність - на базі інших закладів вищої освіти мистецького спрямування.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9" w:name="n85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4.8. 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підтвердження здобувачем рівня знання іноземної мови, зокрема англійської, дійсним сертифікатом тестів TOEFL або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International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Testing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System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сертифікатом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Сambridge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Language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Assessment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рівні С1 Загальноєвропейських рекомендацій з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мовної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право зарахувати відповідні кредити Європейської системи, передбачені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-творчою програмою, як такі, що виконані у повному обсязі.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0" w:name="n86"/>
      <w:bookmarkEnd w:id="60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Обсяг навчального навантаження, передбачений для набуття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мовних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може бути використаний здобувачем для оволодіння іншими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компетентностями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погодженням з творчим керівником та/або науковим консультантом.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1" w:name="n87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4.9. 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Вчена рада має право прийняти рішення про зарахування кредитів Європейської системи, отриманих здобувачем в інших закладах вищої освіти, обов’язкове здобуття яких передбачено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-творчою програмою.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2" w:name="n88"/>
      <w:bookmarkEnd w:id="62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Кредити Європейської системи, отримані здобувачем під час навчання в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-стажуванні та передбачені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-творчою програмою творчої аспірантури, можуть бути зараховані у відповідному обсязі за рішенням вченої ради.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600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4.10. </w:t>
      </w:r>
      <w:bookmarkStart w:id="63" w:name="n89"/>
      <w:bookmarkEnd w:id="63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Творча мистецька складова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-творчої програми творчої аспірантури передбачає підготовку творчого мистецького проекту.</w:t>
      </w:r>
    </w:p>
    <w:p w:rsidR="00600974" w:rsidRPr="001A102B" w:rsidRDefault="00600974" w:rsidP="006009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4" w:name="n90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4.11. 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 підготовкою творчого мистецького проекту здійснює творчий керівник та/або науковий консультант.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5" w:name="n91"/>
      <w:bookmarkEnd w:id="6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Творчий керівник призначається з числа науково-педагогічних працівників з науковим ступенем та/або вченим (почесним) званням відповідним наказом </w:t>
      </w:r>
      <w:proofErr w:type="spellStart"/>
      <w:r w:rsidR="006009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роектора</w:t>
      </w:r>
      <w:proofErr w:type="spellEnd"/>
      <w:r w:rsidR="00600974" w:rsidRPr="0060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974"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 w:rsidR="00600974"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Якщо творчий керівник не має наукового ступеня, для забезпечення виконання дослідницької складової творчого мистецького проекту додатково призначається науковий консультант з числа науково-педагогічних працівників з науковим ступенем.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6" w:name="n92"/>
      <w:bookmarkEnd w:id="66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Творчий керівник та/або науковий консультант здійснюють керівництво підготовкою творчого мистецького проекту, контролюють виконання </w:t>
      </w: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індивідуального навчального плану та звітують перед профільною кафедрою та вченою радою.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7" w:name="n93"/>
      <w:bookmarkEnd w:id="67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Творчий керівник та/або науковий консультант можуть здійснювати одночасне керівництво (консультування) підготовкою, як правило, не більше ніж п’ять аспірантів.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8" w:name="n94"/>
      <w:bookmarkEnd w:id="68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здійснення керівництва (консультування) підготовкою аспіранта творчому керівникові та науковому консультанту відводиться 50 академічних годин навчального навантаження з відповідним розподілом годин навчального навантаження та обов’язків між ними.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9" w:name="n95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4.12. 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Творчий мистецький проект поєднує дослідницьку та творчу мистецьку складові, вимоги до форм та обсягів яких визначаються стандартом вищої освіти за відповідною спеціальністю та конкретизуються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-творчою програмою.</w:t>
      </w:r>
    </w:p>
    <w:p w:rsidR="00600974" w:rsidRPr="001A102B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600974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0" w:name="n96"/>
      <w:bookmarkEnd w:id="7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4.13. 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творчого мистецького проекту визначаються стандартом вищої освіти за в спеціальністю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025 „Музичне мистецтво”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До основних вимог творчого мистецького проекту належить поєднання дослідницької та творчої мистецької складових, форма і обсяг яких визначаються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-творчою програмою.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Дослідницька складова творчого мистецького проекту може бути виконана у формі його наукового обґрунтування.</w:t>
      </w:r>
    </w:p>
    <w:p w:rsidR="001A102B" w:rsidRDefault="00AD4890" w:rsidP="001A1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1" w:name="n98"/>
      <w:bookmarkEnd w:id="71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Творча мистецька складова творчого мистецького проекту повинна бути публічно представлена та зафіксована на електронних носіях у формі відео-, аудіо-,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фотозапису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72" w:name="n99"/>
      <w:bookmarkEnd w:id="72"/>
    </w:p>
    <w:p w:rsidR="001A102B" w:rsidRPr="001A102B" w:rsidRDefault="001A102B" w:rsidP="001A1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Default="001A102B" w:rsidP="001A1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4.14. 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та реалізація творчого мистецького проекту здійснюється з використанням матеріально-технічної бази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A102B" w:rsidRPr="001A102B" w:rsidRDefault="001A102B" w:rsidP="001A1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AD4890" w:rsidRPr="00AD4890" w:rsidRDefault="001A102B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3" w:name="n100"/>
      <w:bookmarkEnd w:id="7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4.15. 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Атестація аспірантів здійснюється постійно діючою або разовою спеціалізованою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акредитованою Національним агентством із забезпечення якості вищої освіти, на підставі публічного захисту творчого мистецького проекту. Аспірант має право на вибір спеціалізованої ради.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4" w:name="n101"/>
      <w:bookmarkEnd w:id="74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Обов’язковою умовою допуску до захисту творчого мистецького проекту є успішне виконання аспірантом його індивідуального навчального плану.</w:t>
      </w:r>
    </w:p>
    <w:p w:rsidR="00AD4890" w:rsidRP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5" w:name="n102"/>
      <w:bookmarkEnd w:id="75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захисту творчого мистецького проекту на здобуття ступеня доктора мистецтва до спеціалізованої ради подаються результати дослідницької складової та відео-, аудіо-, </w:t>
      </w:r>
      <w:proofErr w:type="spellStart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фотозапис</w:t>
      </w:r>
      <w:proofErr w:type="spellEnd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електронних носіях результатів творчої мистецької складової.</w:t>
      </w:r>
    </w:p>
    <w:p w:rsidR="00AD4890" w:rsidRDefault="00AD4890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6" w:name="n103"/>
      <w:bookmarkEnd w:id="76"/>
      <w:r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 готовності творчого мистецького проекту аспіранта до захисту визначається творчим керівником та/або науковим консультантом консенсусним рішенням.</w:t>
      </w:r>
    </w:p>
    <w:p w:rsidR="001A102B" w:rsidRPr="001A102B" w:rsidRDefault="001A102B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A102B" w:rsidRPr="003F006D" w:rsidRDefault="001A102B" w:rsidP="003F00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4.16. </w:t>
      </w:r>
      <w:bookmarkStart w:id="77" w:name="n104"/>
      <w:bookmarkEnd w:id="77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Творча мистецька складова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-творчої програми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-стажування передбачає підготовку творчого звіту.</w:t>
      </w:r>
    </w:p>
    <w:p w:rsidR="00AD4890" w:rsidRDefault="001A102B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8" w:name="n105"/>
      <w:bookmarkEnd w:id="7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4.17. 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Атестація асистентів-стажистів здійснюється екзаменаційною комісією </w:t>
      </w:r>
      <w:r>
        <w:rPr>
          <w:rFonts w:ascii="Times New Roman" w:hAnsi="Times New Roman" w:cs="Times New Roman"/>
          <w:sz w:val="28"/>
          <w:szCs w:val="28"/>
          <w:lang w:val="uk-UA"/>
        </w:rPr>
        <w:t>ДАМ ім.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М.Глінки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захисту творчого звіту.</w:t>
      </w:r>
    </w:p>
    <w:p w:rsidR="001A102B" w:rsidRPr="001A102B" w:rsidRDefault="001A102B" w:rsidP="00AD48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14E86" w:rsidRPr="008F76C2" w:rsidRDefault="001A102B" w:rsidP="008F7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9" w:name="n106"/>
      <w:bookmarkEnd w:id="7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4.18. </w:t>
      </w:r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Правила підготовки здобувачів у творчій аспірантурі, поза творчою аспірантурою та навчання в </w:t>
      </w:r>
      <w:proofErr w:type="spellStart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асистентурі</w:t>
      </w:r>
      <w:proofErr w:type="spellEnd"/>
      <w:r w:rsidR="00AD4890" w:rsidRPr="00AD48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-стажуванні визначаються у положеннях, що затверджуються вченою радою.</w:t>
      </w:r>
      <w:bookmarkStart w:id="80" w:name="n122"/>
      <w:bookmarkEnd w:id="80"/>
    </w:p>
    <w:sectPr w:rsidR="00514E86" w:rsidRPr="008F76C2" w:rsidSect="00F575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C76"/>
    <w:multiLevelType w:val="hybridMultilevel"/>
    <w:tmpl w:val="ED56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22E44"/>
    <w:multiLevelType w:val="multilevel"/>
    <w:tmpl w:val="2572DD5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0BC0797"/>
    <w:multiLevelType w:val="multilevel"/>
    <w:tmpl w:val="C3C62AB4"/>
    <w:lvl w:ilvl="0">
      <w:start w:val="1"/>
      <w:numFmt w:val="decimal"/>
      <w:lvlText w:val="%1."/>
      <w:lvlJc w:val="left"/>
      <w:pPr>
        <w:ind w:left="945" w:hanging="94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395" w:hanging="945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45" w:hanging="945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Theme="minorHAnsi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A7"/>
    <w:rsid w:val="000253EB"/>
    <w:rsid w:val="00033771"/>
    <w:rsid w:val="000A51C6"/>
    <w:rsid w:val="000A62C1"/>
    <w:rsid w:val="000B0788"/>
    <w:rsid w:val="000B3B3E"/>
    <w:rsid w:val="000D5745"/>
    <w:rsid w:val="000E18AD"/>
    <w:rsid w:val="000F7547"/>
    <w:rsid w:val="001327BE"/>
    <w:rsid w:val="00187EAB"/>
    <w:rsid w:val="001A102B"/>
    <w:rsid w:val="001B0EDB"/>
    <w:rsid w:val="001D0BAD"/>
    <w:rsid w:val="001E0697"/>
    <w:rsid w:val="001F0425"/>
    <w:rsid w:val="00266AE3"/>
    <w:rsid w:val="00271177"/>
    <w:rsid w:val="00285B1D"/>
    <w:rsid w:val="00294FC3"/>
    <w:rsid w:val="002A2EDB"/>
    <w:rsid w:val="00343F9E"/>
    <w:rsid w:val="00345DE5"/>
    <w:rsid w:val="003A2EEE"/>
    <w:rsid w:val="003B657D"/>
    <w:rsid w:val="003F006D"/>
    <w:rsid w:val="003F642A"/>
    <w:rsid w:val="0045134F"/>
    <w:rsid w:val="004547DC"/>
    <w:rsid w:val="004A74E4"/>
    <w:rsid w:val="004D07E7"/>
    <w:rsid w:val="004E513F"/>
    <w:rsid w:val="004F0BD9"/>
    <w:rsid w:val="004F1985"/>
    <w:rsid w:val="0050655C"/>
    <w:rsid w:val="00514E86"/>
    <w:rsid w:val="005757B9"/>
    <w:rsid w:val="005C2971"/>
    <w:rsid w:val="00600974"/>
    <w:rsid w:val="0061550C"/>
    <w:rsid w:val="00641D0F"/>
    <w:rsid w:val="006C3885"/>
    <w:rsid w:val="006E1686"/>
    <w:rsid w:val="0074274B"/>
    <w:rsid w:val="00787F15"/>
    <w:rsid w:val="007A0AC6"/>
    <w:rsid w:val="007A2C3F"/>
    <w:rsid w:val="007B3C50"/>
    <w:rsid w:val="007F75D0"/>
    <w:rsid w:val="008362BE"/>
    <w:rsid w:val="008B153A"/>
    <w:rsid w:val="008E1841"/>
    <w:rsid w:val="008E366A"/>
    <w:rsid w:val="008E5D57"/>
    <w:rsid w:val="008E6B6B"/>
    <w:rsid w:val="008F2D4E"/>
    <w:rsid w:val="008F76C2"/>
    <w:rsid w:val="0092665E"/>
    <w:rsid w:val="009B498E"/>
    <w:rsid w:val="009E1239"/>
    <w:rsid w:val="00A30E75"/>
    <w:rsid w:val="00AB0948"/>
    <w:rsid w:val="00AD0DA7"/>
    <w:rsid w:val="00AD4890"/>
    <w:rsid w:val="00B12786"/>
    <w:rsid w:val="00BA5CC0"/>
    <w:rsid w:val="00BE0908"/>
    <w:rsid w:val="00BE762D"/>
    <w:rsid w:val="00C27F31"/>
    <w:rsid w:val="00C347D3"/>
    <w:rsid w:val="00C65B5F"/>
    <w:rsid w:val="00C750DE"/>
    <w:rsid w:val="00D0330A"/>
    <w:rsid w:val="00D46E29"/>
    <w:rsid w:val="00D53E7C"/>
    <w:rsid w:val="00D71250"/>
    <w:rsid w:val="00D94E7E"/>
    <w:rsid w:val="00DB4572"/>
    <w:rsid w:val="00DC5AB4"/>
    <w:rsid w:val="00DF15C8"/>
    <w:rsid w:val="00DF7179"/>
    <w:rsid w:val="00E36138"/>
    <w:rsid w:val="00E42FFC"/>
    <w:rsid w:val="00E45863"/>
    <w:rsid w:val="00EA7A26"/>
    <w:rsid w:val="00F00D82"/>
    <w:rsid w:val="00F57518"/>
    <w:rsid w:val="00F618BA"/>
    <w:rsid w:val="00FA190C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C27F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A2C3F"/>
  </w:style>
  <w:style w:type="paragraph" w:customStyle="1" w:styleId="rvps7">
    <w:name w:val="rvps7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A2C3F"/>
  </w:style>
  <w:style w:type="paragraph" w:customStyle="1" w:styleId="rvps2">
    <w:name w:val="rvps2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C3F"/>
    <w:rPr>
      <w:color w:val="0000FF"/>
      <w:u w:val="single"/>
    </w:rPr>
  </w:style>
  <w:style w:type="paragraph" w:customStyle="1" w:styleId="rvps4">
    <w:name w:val="rvps4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A2C3F"/>
  </w:style>
  <w:style w:type="paragraph" w:customStyle="1" w:styleId="rvps15">
    <w:name w:val="rvps15"/>
    <w:basedOn w:val="a"/>
    <w:rsid w:val="007A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762D"/>
    <w:rPr>
      <w:b/>
      <w:bCs/>
    </w:rPr>
  </w:style>
  <w:style w:type="paragraph" w:styleId="a6">
    <w:name w:val="Title"/>
    <w:basedOn w:val="a"/>
    <w:link w:val="a7"/>
    <w:qFormat/>
    <w:rsid w:val="003A2E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3A2EE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00D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B6B"/>
    <w:rPr>
      <w:rFonts w:ascii="Tahoma" w:hAnsi="Tahoma" w:cs="Tahoma"/>
      <w:sz w:val="16"/>
      <w:szCs w:val="16"/>
    </w:rPr>
  </w:style>
  <w:style w:type="paragraph" w:customStyle="1" w:styleId="ab">
    <w:name w:val="Нормальний текст"/>
    <w:basedOn w:val="a"/>
    <w:rsid w:val="00C27F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07CB-48ED-4DCD-B19A-7E07A48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61</cp:revision>
  <cp:lastPrinted>2019-12-12T07:39:00Z</cp:lastPrinted>
  <dcterms:created xsi:type="dcterms:W3CDTF">2019-01-25T13:45:00Z</dcterms:created>
  <dcterms:modified xsi:type="dcterms:W3CDTF">2020-01-30T09:10:00Z</dcterms:modified>
</cp:coreProperties>
</file>